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rPr>
          <w:rFonts w:ascii="黑体" w:hAnsi="黑体" w:eastAsia="黑体"/>
          <w:sz w:val="32"/>
          <w:szCs w:val="32"/>
        </w:rPr>
      </w:pPr>
      <w:r>
        <w:rPr>
          <w:rFonts w:hint="eastAsia" w:ascii="黑体" w:hAnsi="黑体" w:eastAsia="黑体"/>
          <w:sz w:val="32"/>
          <w:szCs w:val="32"/>
        </w:rPr>
        <w:t xml:space="preserve">附件1： </w:t>
      </w:r>
    </w:p>
    <w:p>
      <w:pPr>
        <w:spacing w:line="540" w:lineRule="exact"/>
        <w:rPr>
          <w:rFonts w:ascii="方正小标宋_GBK" w:hAnsi="宋体" w:eastAsia="方正小标宋_GBK"/>
          <w:sz w:val="44"/>
          <w:szCs w:val="44"/>
        </w:rPr>
      </w:pPr>
    </w:p>
    <w:p>
      <w:pPr>
        <w:spacing w:line="540" w:lineRule="exact"/>
        <w:jc w:val="center"/>
        <w:rPr>
          <w:rFonts w:ascii="方正小标宋_GBK" w:hAnsi="宋体" w:eastAsia="方正小标宋_GBK"/>
          <w:sz w:val="44"/>
          <w:szCs w:val="44"/>
        </w:rPr>
      </w:pPr>
      <w:r>
        <w:rPr>
          <w:rFonts w:hint="eastAsia" w:ascii="方正小标宋_GBK" w:hAnsi="宋体" w:eastAsia="方正小标宋_GBK"/>
          <w:sz w:val="44"/>
          <w:szCs w:val="44"/>
        </w:rPr>
        <w:t>2018年度新疆喀什地区英吉沙县安全生产监督管理局部门决算</w:t>
      </w:r>
    </w:p>
    <w:p>
      <w:pPr>
        <w:spacing w:line="540" w:lineRule="exact"/>
        <w:jc w:val="center"/>
        <w:rPr>
          <w:rFonts w:ascii="方正小标宋_GBK" w:hAnsi="宋体" w:eastAsia="方正小标宋_GBK"/>
          <w:sz w:val="44"/>
          <w:szCs w:val="44"/>
        </w:rPr>
      </w:pPr>
      <w:r>
        <w:rPr>
          <w:rFonts w:hint="eastAsia" w:ascii="方正小标宋_GBK" w:hAnsi="宋体" w:eastAsia="方正小标宋_GBK"/>
          <w:sz w:val="44"/>
          <w:szCs w:val="44"/>
        </w:rPr>
        <w:t>公开说明</w:t>
      </w:r>
    </w:p>
    <w:p>
      <w:pPr>
        <w:spacing w:line="540" w:lineRule="exact"/>
        <w:rPr>
          <w:rFonts w:ascii="仿宋_GB2312" w:hAnsi="宋体" w:eastAsia="仿宋_GB2312"/>
          <w:sz w:val="32"/>
          <w:szCs w:val="32"/>
        </w:rPr>
      </w:pPr>
    </w:p>
    <w:p>
      <w:pPr>
        <w:spacing w:line="540" w:lineRule="exact"/>
        <w:jc w:val="center"/>
        <w:rPr>
          <w:rFonts w:ascii="黑体" w:hAnsi="黑体" w:eastAsia="黑体"/>
          <w:bCs/>
          <w:kern w:val="0"/>
          <w:sz w:val="32"/>
          <w:szCs w:val="32"/>
        </w:rPr>
      </w:pPr>
      <w:r>
        <w:rPr>
          <w:rFonts w:hint="eastAsia" w:ascii="黑体" w:hAnsi="黑体" w:eastAsia="黑体"/>
          <w:bCs/>
          <w:kern w:val="0"/>
          <w:sz w:val="32"/>
          <w:szCs w:val="32"/>
        </w:rPr>
        <w:t>目  录</w:t>
      </w:r>
    </w:p>
    <w:p>
      <w:pPr>
        <w:spacing w:line="540" w:lineRule="exact"/>
        <w:rPr>
          <w:rFonts w:ascii="仿宋_GB2312" w:hAnsi="宋体" w:eastAsia="仿宋_GB2312"/>
          <w:b/>
          <w:kern w:val="0"/>
          <w:sz w:val="32"/>
          <w:szCs w:val="32"/>
        </w:rPr>
      </w:pPr>
    </w:p>
    <w:p>
      <w:pPr>
        <w:spacing w:line="540" w:lineRule="exact"/>
        <w:ind w:firstLine="640" w:firstLineChars="200"/>
        <w:rPr>
          <w:rFonts w:ascii="黑体" w:hAnsi="黑体" w:eastAsia="黑体"/>
          <w:kern w:val="0"/>
          <w:sz w:val="32"/>
          <w:szCs w:val="32"/>
        </w:rPr>
      </w:pPr>
      <w:r>
        <w:rPr>
          <w:rFonts w:hint="eastAsia" w:ascii="黑体" w:hAnsi="黑体" w:eastAsia="黑体"/>
          <w:kern w:val="0"/>
          <w:sz w:val="32"/>
          <w:szCs w:val="32"/>
        </w:rPr>
        <w:t>第一部分 部门单位概况</w:t>
      </w:r>
    </w:p>
    <w:p>
      <w:pPr>
        <w:spacing w:line="540" w:lineRule="exact"/>
        <w:ind w:firstLine="640" w:firstLineChars="200"/>
        <w:rPr>
          <w:rFonts w:ascii="仿宋_GB2312" w:hAnsi="宋体" w:eastAsia="仿宋_GB2312"/>
          <w:kern w:val="0"/>
          <w:sz w:val="32"/>
          <w:szCs w:val="32"/>
        </w:rPr>
      </w:pPr>
      <w:r>
        <w:rPr>
          <w:rFonts w:hint="eastAsia" w:ascii="仿宋_GB2312" w:hAnsi="宋体" w:eastAsia="仿宋_GB2312"/>
          <w:kern w:val="0"/>
          <w:sz w:val="32"/>
          <w:szCs w:val="32"/>
        </w:rPr>
        <w:t>一、主要职能</w:t>
      </w:r>
    </w:p>
    <w:p>
      <w:pPr>
        <w:spacing w:line="540" w:lineRule="exact"/>
        <w:ind w:firstLine="640" w:firstLineChars="200"/>
        <w:rPr>
          <w:rFonts w:ascii="仿宋_GB2312" w:hAnsi="宋体" w:eastAsia="仿宋_GB2312"/>
          <w:kern w:val="0"/>
          <w:sz w:val="32"/>
          <w:szCs w:val="32"/>
        </w:rPr>
      </w:pPr>
      <w:r>
        <w:rPr>
          <w:rFonts w:hint="eastAsia" w:ascii="仿宋_GB2312" w:hAnsi="宋体" w:eastAsia="仿宋_GB2312"/>
          <w:kern w:val="0"/>
          <w:sz w:val="32"/>
          <w:szCs w:val="32"/>
        </w:rPr>
        <w:t>二、</w:t>
      </w:r>
      <w:r>
        <w:rPr>
          <w:rFonts w:hint="eastAsia" w:ascii="仿宋_GB2312" w:eastAsia="仿宋_GB2312"/>
          <w:sz w:val="32"/>
          <w:szCs w:val="32"/>
        </w:rPr>
        <w:t>机构设置情况</w:t>
      </w:r>
    </w:p>
    <w:p>
      <w:pPr>
        <w:spacing w:line="540" w:lineRule="exact"/>
        <w:ind w:firstLine="640" w:firstLineChars="200"/>
        <w:rPr>
          <w:rFonts w:ascii="黑体" w:hAnsi="黑体" w:eastAsia="黑体"/>
          <w:kern w:val="0"/>
          <w:sz w:val="32"/>
          <w:szCs w:val="32"/>
        </w:rPr>
      </w:pPr>
      <w:r>
        <w:rPr>
          <w:rFonts w:hint="eastAsia" w:ascii="黑体" w:hAnsi="黑体" w:eastAsia="黑体"/>
          <w:kern w:val="0"/>
          <w:sz w:val="32"/>
          <w:szCs w:val="32"/>
        </w:rPr>
        <w:t>第二部分 部门决算情况说明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一、部门收支总体情况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（一）部门收入支出决算总体情况说明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（二）部门收入总体情况说明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（三）部门支出总体情况说明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二、部门财政拨款收支情况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（一）财政拨款收支总体情况说明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（二）一般公共预算收支决算情况说明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（三）政府性基金预算收支决算情况说明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三、部门结转结余情况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四、一般公共预算“三公”经费支出情况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五、机关运行经费支出情况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六、政府采购情况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七、其他重要事项的情况</w:t>
      </w:r>
    </w:p>
    <w:p>
      <w:pPr>
        <w:spacing w:line="540" w:lineRule="exact"/>
        <w:ind w:firstLine="640" w:firstLineChars="200"/>
        <w:rPr>
          <w:rFonts w:ascii="仿宋_GB2312" w:eastAsia="仿宋_GB2312"/>
          <w:sz w:val="32"/>
          <w:szCs w:val="32"/>
        </w:rPr>
      </w:pPr>
      <w:bookmarkStart w:id="0" w:name="OLE_LINK95"/>
      <w:bookmarkStart w:id="1" w:name="OLE_LINK94"/>
      <w:r>
        <w:rPr>
          <w:rFonts w:hint="eastAsia" w:ascii="仿宋_GB2312" w:eastAsia="仿宋_GB2312"/>
          <w:sz w:val="32"/>
          <w:szCs w:val="32"/>
        </w:rPr>
        <w:t>（一）国有资产占用情况说明</w:t>
      </w:r>
      <w:bookmarkEnd w:id="0"/>
      <w:bookmarkEnd w:id="1"/>
    </w:p>
    <w:p>
      <w:pPr>
        <w:spacing w:line="540" w:lineRule="exact"/>
        <w:ind w:firstLine="640" w:firstLineChars="200"/>
        <w:rPr>
          <w:rFonts w:ascii="仿宋_GB2312" w:eastAsia="仿宋_GB2312"/>
          <w:sz w:val="32"/>
          <w:szCs w:val="32"/>
        </w:rPr>
      </w:pPr>
      <w:bookmarkStart w:id="2" w:name="OLE_LINK96"/>
      <w:r>
        <w:rPr>
          <w:rFonts w:hint="eastAsia" w:ascii="仿宋_GB2312" w:eastAsia="仿宋_GB2312"/>
          <w:sz w:val="32"/>
          <w:szCs w:val="32"/>
        </w:rPr>
        <w:t>（二）预算绩效情况的说明</w:t>
      </w:r>
      <w:bookmarkEnd w:id="2"/>
    </w:p>
    <w:p>
      <w:pPr>
        <w:spacing w:line="540" w:lineRule="exact"/>
        <w:ind w:firstLine="640" w:firstLineChars="200"/>
        <w:rPr>
          <w:rFonts w:ascii="黑体" w:hAnsi="黑体" w:eastAsia="黑体"/>
          <w:kern w:val="0"/>
          <w:sz w:val="32"/>
          <w:szCs w:val="32"/>
        </w:rPr>
      </w:pPr>
      <w:r>
        <w:rPr>
          <w:rFonts w:hint="eastAsia" w:ascii="黑体" w:hAnsi="黑体" w:eastAsia="黑体"/>
          <w:kern w:val="0"/>
          <w:sz w:val="32"/>
          <w:szCs w:val="32"/>
        </w:rPr>
        <w:t>第三部分 专业名词解释</w:t>
      </w:r>
    </w:p>
    <w:p>
      <w:pPr>
        <w:spacing w:line="540" w:lineRule="exact"/>
        <w:ind w:firstLine="640" w:firstLineChars="200"/>
        <w:rPr>
          <w:rFonts w:ascii="黑体" w:hAnsi="黑体" w:eastAsia="黑体"/>
          <w:kern w:val="0"/>
          <w:sz w:val="32"/>
          <w:szCs w:val="32"/>
        </w:rPr>
      </w:pPr>
      <w:r>
        <w:rPr>
          <w:rFonts w:hint="eastAsia" w:ascii="黑体" w:hAnsi="黑体" w:eastAsia="黑体"/>
          <w:kern w:val="0"/>
          <w:sz w:val="32"/>
          <w:szCs w:val="32"/>
        </w:rPr>
        <w:t>第四部分 部</w:t>
      </w:r>
      <w:r>
        <w:rPr>
          <w:rFonts w:hint="eastAsia" w:ascii="黑体" w:hAnsi="黑体" w:eastAsia="黑体"/>
          <w:sz w:val="32"/>
          <w:szCs w:val="32"/>
        </w:rPr>
        <w:t>门决算公开的8张报表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《收入支出决算总表》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《收入决算表》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《财政拨款收入支出决算总表》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《一般公共预算财政拨款支出决算表》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《一般公共预算财政拨款基本支出决算表》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《一般公共预算财政拨款“三公”经费支出决算表》</w:t>
      </w:r>
    </w:p>
    <w:p>
      <w:pPr>
        <w:spacing w:line="540" w:lineRule="exact"/>
        <w:ind w:firstLine="640" w:firstLineChars="200"/>
        <w:rPr>
          <w:rFonts w:ascii="仿宋_GB2312" w:hAnsi="宋体" w:eastAsia="仿宋_GB2312"/>
          <w:sz w:val="32"/>
          <w:szCs w:val="32"/>
        </w:rPr>
      </w:pPr>
      <w:r>
        <w:rPr>
          <w:rFonts w:hint="eastAsia" w:ascii="仿宋_GB2312" w:eastAsia="仿宋_GB2312"/>
          <w:sz w:val="32"/>
          <w:szCs w:val="32"/>
        </w:rPr>
        <w:t>《政府性基金预算财政拨款收入支出决算表》</w:t>
      </w:r>
    </w:p>
    <w:p>
      <w:pPr>
        <w:spacing w:line="540" w:lineRule="exact"/>
        <w:ind w:firstLine="640" w:firstLineChars="200"/>
        <w:rPr>
          <w:rFonts w:ascii="黑体" w:hAnsi="黑体" w:eastAsia="黑体"/>
          <w:sz w:val="32"/>
          <w:szCs w:val="32"/>
        </w:rPr>
      </w:pPr>
    </w:p>
    <w:p>
      <w:pPr>
        <w:spacing w:line="540" w:lineRule="exact"/>
        <w:jc w:val="center"/>
        <w:rPr>
          <w:rFonts w:ascii="黑体" w:hAnsi="黑体" w:eastAsia="黑体"/>
          <w:sz w:val="32"/>
          <w:szCs w:val="32"/>
        </w:rPr>
      </w:pPr>
      <w:r>
        <w:rPr>
          <w:rFonts w:hint="eastAsia" w:ascii="黑体" w:hAnsi="黑体" w:eastAsia="黑体"/>
          <w:sz w:val="32"/>
          <w:szCs w:val="32"/>
        </w:rPr>
        <w:t>第一部分 部门单位概况</w:t>
      </w:r>
    </w:p>
    <w:p>
      <w:pPr>
        <w:spacing w:line="540" w:lineRule="exact"/>
        <w:ind w:firstLine="640" w:firstLineChars="200"/>
        <w:rPr>
          <w:rFonts w:ascii="黑体" w:hAnsi="黑体" w:eastAsia="黑体" w:cs="宋体"/>
          <w:bCs/>
          <w:kern w:val="0"/>
          <w:sz w:val="32"/>
          <w:szCs w:val="32"/>
        </w:rPr>
      </w:pPr>
      <w:r>
        <w:rPr>
          <w:rFonts w:hint="eastAsia" w:ascii="黑体" w:hAnsi="黑体" w:eastAsia="黑体" w:cs="宋体"/>
          <w:bCs/>
          <w:kern w:val="0"/>
          <w:sz w:val="32"/>
          <w:szCs w:val="32"/>
        </w:rPr>
        <w:t>一、主要职能</w:t>
      </w:r>
    </w:p>
    <w:p>
      <w:pPr>
        <w:spacing w:line="500" w:lineRule="exact"/>
        <w:rPr>
          <w:rFonts w:ascii="黑体" w:hAnsi="黑体" w:eastAsia="黑体" w:cs="宋体"/>
          <w:bCs/>
          <w:kern w:val="0"/>
          <w:sz w:val="32"/>
          <w:szCs w:val="32"/>
        </w:rPr>
      </w:pPr>
      <w:r>
        <w:rPr>
          <w:rFonts w:hint="eastAsia" w:ascii="仿宋_GB2312" w:eastAsia="仿宋_GB2312"/>
          <w:sz w:val="32"/>
          <w:szCs w:val="32"/>
        </w:rPr>
        <w:t xml:space="preserve">    1、组织起草县安全生产规范性文件，拟定全县安全生产工作规划和计划；负责全县安全生产伤亡事故统计工作，分析和预测全县安全生产形势，发布全县安全生产信息；指导协调全县安全生产工作，协调解决安全生产中的重大问题。</w:t>
      </w:r>
      <w:r>
        <w:rPr>
          <w:rFonts w:hint="eastAsia" w:ascii="仿宋_GB2312" w:eastAsia="仿宋_GB2312"/>
          <w:sz w:val="32"/>
          <w:szCs w:val="32"/>
        </w:rPr>
        <w:br w:type="textWrapping"/>
      </w:r>
      <w:r>
        <w:rPr>
          <w:rFonts w:hint="eastAsia" w:ascii="仿宋_GB2312" w:eastAsia="仿宋_GB2312"/>
          <w:sz w:val="32"/>
          <w:szCs w:val="32"/>
        </w:rPr>
        <w:t xml:space="preserve">    2、承担英吉沙县安全生产综合监督管理责任，依法行使综合监督管理职权，指导协调、监督检查全县各行业主管部门和各乡（镇）人民政府履行安全生产职责情况，监督并通报有关安全生产控制指标执行情况，监督事故查处和责任追究落实情况。</w:t>
      </w:r>
      <w:r>
        <w:rPr>
          <w:rFonts w:hint="eastAsia" w:ascii="仿宋_GB2312" w:eastAsia="仿宋_GB2312"/>
          <w:sz w:val="32"/>
          <w:szCs w:val="32"/>
        </w:rPr>
        <w:br w:type="textWrapping"/>
      </w:r>
      <w:r>
        <w:rPr>
          <w:rFonts w:hint="eastAsia" w:ascii="仿宋_GB2312" w:eastAsia="仿宋_GB2312"/>
          <w:sz w:val="32"/>
          <w:szCs w:val="32"/>
        </w:rPr>
        <w:t xml:space="preserve">    3、承担英吉沙县非煤矿矿山企业、危险化学品经营企业、烟花爆竹经营企业安全生产准入管理责任，依法组织并指导监督实施安全生产、经营许可证的颁发管理工作。负责非煤矿矿山、危险化学品、烟花爆竹企业安全生产监督管理工作。</w:t>
      </w:r>
      <w:r>
        <w:rPr>
          <w:rFonts w:hint="eastAsia" w:ascii="仿宋_GB2312" w:eastAsia="仿宋_GB2312"/>
          <w:sz w:val="32"/>
          <w:szCs w:val="32"/>
        </w:rPr>
        <w:br w:type="textWrapping"/>
      </w:r>
      <w:r>
        <w:rPr>
          <w:rFonts w:hint="eastAsia" w:ascii="仿宋_GB2312" w:eastAsia="仿宋_GB2312"/>
          <w:sz w:val="32"/>
          <w:szCs w:val="32"/>
        </w:rPr>
        <w:t xml:space="preserve">    4、承担县工矿商贸企业作业场所职业卫生监督检查责任，负责职业卫生安全许可证的颁发管理工作，组织查处职业危害事故和违法违规行为。</w:t>
      </w:r>
      <w:r>
        <w:rPr>
          <w:rFonts w:hint="eastAsia" w:ascii="仿宋_GB2312" w:eastAsia="仿宋_GB2312"/>
          <w:sz w:val="32"/>
          <w:szCs w:val="32"/>
        </w:rPr>
        <w:br w:type="textWrapping"/>
      </w:r>
      <w:r>
        <w:rPr>
          <w:rFonts w:hint="eastAsia" w:ascii="仿宋_GB2312" w:eastAsia="仿宋_GB2312"/>
          <w:sz w:val="32"/>
          <w:szCs w:val="32"/>
        </w:rPr>
        <w:t xml:space="preserve">    5、健全完善英吉沙县工矿商贸行业安全生产规章制度并组织实施，监督检查重大危险源监控和重大事故隐患排查治理工作，依法查处不具备安全生产条件的工矿商贸生产经营单位。</w:t>
      </w:r>
      <w:r>
        <w:rPr>
          <w:rFonts w:hint="eastAsia" w:ascii="仿宋_GB2312" w:eastAsia="仿宋_GB2312"/>
          <w:sz w:val="32"/>
          <w:szCs w:val="32"/>
        </w:rPr>
        <w:br w:type="textWrapping"/>
      </w:r>
      <w:r>
        <w:rPr>
          <w:rFonts w:hint="eastAsia" w:ascii="仿宋_GB2312" w:eastAsia="仿宋_GB2312"/>
          <w:sz w:val="32"/>
          <w:szCs w:val="32"/>
        </w:rPr>
        <w:t xml:space="preserve">    6、负责组织县安全生产大检查和专项督查，依法组织全县较大事故调查处理和办理结案工作，监督事故查处和责任追究落实情况。</w:t>
      </w:r>
      <w:r>
        <w:rPr>
          <w:rFonts w:hint="eastAsia" w:ascii="仿宋_GB2312" w:eastAsia="仿宋_GB2312"/>
          <w:sz w:val="32"/>
          <w:szCs w:val="32"/>
        </w:rPr>
        <w:br w:type="textWrapping"/>
      </w:r>
      <w:r>
        <w:rPr>
          <w:rFonts w:hint="eastAsia" w:ascii="仿宋_GB2312" w:eastAsia="仿宋_GB2312"/>
          <w:sz w:val="32"/>
          <w:szCs w:val="32"/>
        </w:rPr>
        <w:t xml:space="preserve">    7、负责组织、协调县安全生产应急救援工作，综合管理全县生产安全伤亡事故和安全生产行政执法统计分析工作。</w:t>
      </w:r>
      <w:r>
        <w:rPr>
          <w:rFonts w:hint="eastAsia" w:ascii="仿宋_GB2312" w:eastAsia="仿宋_GB2312"/>
          <w:sz w:val="32"/>
          <w:szCs w:val="32"/>
        </w:rPr>
        <w:br w:type="textWrapping"/>
      </w:r>
      <w:r>
        <w:rPr>
          <w:rFonts w:hint="eastAsia" w:ascii="仿宋_GB2312" w:eastAsia="仿宋_GB2312"/>
          <w:sz w:val="32"/>
          <w:szCs w:val="32"/>
        </w:rPr>
        <w:t xml:space="preserve">    8、负责全县安全生产宣传教育工作，监督检查工矿商贸生产经营单位安全生产和职业安全培训工作。</w:t>
      </w:r>
      <w:r>
        <w:rPr>
          <w:rFonts w:hint="eastAsia" w:ascii="仿宋_GB2312" w:eastAsia="仿宋_GB2312"/>
          <w:sz w:val="32"/>
          <w:szCs w:val="32"/>
        </w:rPr>
        <w:br w:type="textWrapping"/>
      </w:r>
      <w:r>
        <w:rPr>
          <w:rFonts w:hint="eastAsia" w:ascii="仿宋_GB2312" w:eastAsia="仿宋_GB2312"/>
          <w:sz w:val="32"/>
          <w:szCs w:val="32"/>
        </w:rPr>
        <w:t xml:space="preserve">    9、组织指导协调和监督英吉沙县安全生产行政执法工作。 </w:t>
      </w:r>
    </w:p>
    <w:p>
      <w:pPr>
        <w:spacing w:line="540" w:lineRule="exact"/>
        <w:ind w:firstLine="640" w:firstLineChars="200"/>
        <w:rPr>
          <w:rFonts w:ascii="黑体" w:hAnsi="黑体" w:eastAsia="黑体" w:cs="宋体"/>
          <w:bCs/>
          <w:kern w:val="0"/>
          <w:sz w:val="32"/>
          <w:szCs w:val="32"/>
        </w:rPr>
      </w:pPr>
      <w:r>
        <w:rPr>
          <w:rFonts w:hint="eastAsia" w:ascii="黑体" w:hAnsi="黑体" w:eastAsia="黑体" w:cs="宋体"/>
          <w:bCs/>
          <w:kern w:val="0"/>
          <w:sz w:val="32"/>
          <w:szCs w:val="32"/>
        </w:rPr>
        <w:t>二、机构设置情况</w:t>
      </w:r>
    </w:p>
    <w:p>
      <w:pPr>
        <w:spacing w:line="540" w:lineRule="exact"/>
        <w:ind w:firstLine="640" w:firstLineChars="200"/>
        <w:rPr>
          <w:rFonts w:ascii="仿宋_GB2312" w:hAnsi="宋体" w:eastAsia="仿宋_GB2312" w:cs="宋体"/>
          <w:kern w:val="0"/>
          <w:sz w:val="32"/>
          <w:szCs w:val="32"/>
        </w:rPr>
      </w:pPr>
      <w:bookmarkStart w:id="3" w:name="OLE_LINK51"/>
      <w:r>
        <w:rPr>
          <w:rFonts w:hint="eastAsia" w:ascii="仿宋_GB2312" w:eastAsia="仿宋_GB2312"/>
          <w:sz w:val="32"/>
          <w:szCs w:val="32"/>
        </w:rPr>
        <w:t>从决算单位构成看，</w:t>
      </w:r>
      <w:r>
        <w:rPr>
          <w:rFonts w:ascii="仿宋_GB2312" w:eastAsia="仿宋_GB2312"/>
          <w:sz w:val="32"/>
          <w:szCs w:val="32"/>
        </w:rPr>
        <w:t>新疆喀什地区英吉沙县安全生产监督管理局</w:t>
      </w:r>
      <w:r>
        <w:rPr>
          <w:rFonts w:hint="eastAsia" w:ascii="仿宋_GB2312" w:eastAsia="仿宋_GB2312"/>
          <w:sz w:val="32"/>
          <w:szCs w:val="32"/>
        </w:rPr>
        <w:t>部门决算包括：</w:t>
      </w:r>
      <w:r>
        <w:rPr>
          <w:rFonts w:ascii="仿宋_GB2312" w:eastAsia="仿宋_GB2312"/>
          <w:sz w:val="32"/>
          <w:szCs w:val="32"/>
        </w:rPr>
        <w:t>新疆喀什地区英吉沙县安全生产监督管理局</w:t>
      </w:r>
      <w:r>
        <w:rPr>
          <w:rFonts w:hint="eastAsia" w:ascii="仿宋_GB2312" w:eastAsia="仿宋_GB2312"/>
          <w:sz w:val="32"/>
          <w:szCs w:val="32"/>
        </w:rPr>
        <w:t>部门本级决算、所属单位决算等。</w:t>
      </w:r>
    </w:p>
    <w:p>
      <w:pPr>
        <w:spacing w:line="540" w:lineRule="exact"/>
        <w:ind w:firstLine="640" w:firstLineChars="200"/>
        <w:rPr>
          <w:rFonts w:ascii="仿宋_GB2312" w:eastAsia="仿宋_GB2312"/>
          <w:spacing w:val="-6"/>
          <w:sz w:val="32"/>
          <w:szCs w:val="32"/>
        </w:rPr>
      </w:pPr>
      <w:r>
        <w:rPr>
          <w:rFonts w:hint="eastAsia" w:ascii="仿宋_GB2312" w:eastAsia="仿宋_GB2312"/>
          <w:sz w:val="32"/>
          <w:szCs w:val="32"/>
        </w:rPr>
        <w:t>纳入</w:t>
      </w:r>
      <w:r>
        <w:rPr>
          <w:rFonts w:ascii="仿宋_GB2312" w:eastAsia="仿宋_GB2312"/>
          <w:sz w:val="32"/>
          <w:szCs w:val="32"/>
        </w:rPr>
        <w:t>新疆喀什地区英吉沙县安全生产监督管理局</w:t>
      </w:r>
      <w:r>
        <w:rPr>
          <w:rFonts w:hint="eastAsia" w:ascii="仿宋_GB2312" w:eastAsia="仿宋_GB2312"/>
          <w:sz w:val="32"/>
          <w:szCs w:val="32"/>
        </w:rPr>
        <w:t>2018年部门决算编制范围的单位名单见下表</w:t>
      </w:r>
      <w:r>
        <w:rPr>
          <w:rFonts w:hint="eastAsia" w:ascii="仿宋_GB2312" w:eastAsia="仿宋_GB2312"/>
          <w:spacing w:val="-6"/>
          <w:sz w:val="32"/>
          <w:szCs w:val="32"/>
        </w:rPr>
        <w:t>：</w:t>
      </w:r>
      <w:bookmarkEnd w:id="3"/>
    </w:p>
    <w:p>
      <w:pPr>
        <w:spacing w:line="540" w:lineRule="exact"/>
        <w:ind w:firstLine="616" w:firstLineChars="200"/>
        <w:rPr>
          <w:rFonts w:ascii="仿宋_GB2312" w:eastAsia="仿宋_GB2312"/>
          <w:spacing w:val="-6"/>
          <w:sz w:val="32"/>
          <w:szCs w:val="32"/>
        </w:rPr>
      </w:pPr>
    </w:p>
    <w:p>
      <w:pPr>
        <w:spacing w:line="540" w:lineRule="exact"/>
        <w:ind w:firstLine="616" w:firstLineChars="200"/>
        <w:rPr>
          <w:rFonts w:ascii="仿宋_GB2312" w:eastAsia="仿宋_GB2312"/>
          <w:spacing w:val="-6"/>
          <w:sz w:val="32"/>
          <w:szCs w:val="32"/>
        </w:rPr>
      </w:pPr>
    </w:p>
    <w:tbl>
      <w:tblPr>
        <w:tblStyle w:val="7"/>
        <w:tblW w:w="946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56"/>
        <w:gridCol w:w="3870"/>
        <w:gridCol w:w="25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trPr>
        <w:tc>
          <w:tcPr>
            <w:tcW w:w="3056" w:type="dxa"/>
            <w:vAlign w:val="center"/>
          </w:tcPr>
          <w:p>
            <w:pPr>
              <w:spacing w:line="50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序号</w:t>
            </w:r>
          </w:p>
        </w:tc>
        <w:tc>
          <w:tcPr>
            <w:tcW w:w="3870" w:type="dxa"/>
            <w:vAlign w:val="center"/>
          </w:tcPr>
          <w:p>
            <w:pPr>
              <w:spacing w:line="50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单位名称</w:t>
            </w:r>
          </w:p>
        </w:tc>
        <w:tc>
          <w:tcPr>
            <w:tcW w:w="2538" w:type="dxa"/>
            <w:vAlign w:val="center"/>
          </w:tcPr>
          <w:p>
            <w:pPr>
              <w:spacing w:line="500" w:lineRule="exact"/>
              <w:ind w:firstLine="1280" w:firstLineChars="400"/>
              <w:rPr>
                <w:rFonts w:ascii="仿宋_GB2312" w:eastAsia="仿宋_GB2312"/>
                <w:color w:val="000000" w:themeColor="text1"/>
                <w:sz w:val="32"/>
                <w:szCs w:val="32"/>
                <w:highlight w:val="yellow"/>
              </w:rPr>
            </w:pPr>
            <w:r>
              <w:rPr>
                <w:rFonts w:hint="eastAsia" w:ascii="仿宋_GB2312" w:eastAsia="仿宋_GB2312"/>
                <w:color w:val="000000" w:themeColor="text1"/>
                <w:sz w:val="32"/>
                <w:szCs w:val="32"/>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56" w:type="dxa"/>
          </w:tcPr>
          <w:p>
            <w:pPr>
              <w:pageBreakBefore w:val="0"/>
              <w:spacing w:line="500" w:lineRule="exact"/>
              <w:ind w:firstLine="640" w:firstLineChars="200"/>
              <w:jc w:val="left"/>
              <w:textAlignment w:val="auto"/>
            </w:pPr>
            <w:r>
              <w:rPr>
                <w:rFonts w:ascii="Times New Roman" w:hAnsi="Times New Roman" w:eastAsia="Times New Roman" w:cs="Times New Roman"/>
                <w:b w:val="0"/>
                <w:i w:val="0"/>
                <w:strike w:val="0"/>
                <w:color w:val="000000"/>
                <w:position w:val="-1"/>
                <w:sz w:val="32"/>
                <w:u w:val="none"/>
              </w:rPr>
              <w:t>1</w:t>
            </w:r>
          </w:p>
        </w:tc>
        <w:tc>
          <w:tcPr>
            <w:tcW w:w="3870" w:type="dxa"/>
          </w:tcPr>
          <w:p>
            <w:pPr>
              <w:pageBreakBefore w:val="0"/>
              <w:spacing w:line="500" w:lineRule="exact"/>
              <w:ind w:firstLine="640" w:firstLineChars="200"/>
              <w:jc w:val="left"/>
              <w:textAlignment w:val="auto"/>
            </w:pPr>
            <w:r>
              <w:rPr>
                <w:rFonts w:ascii="Times New Roman" w:hAnsi="Times New Roman" w:eastAsia="Times New Roman" w:cs="Times New Roman"/>
                <w:b w:val="0"/>
                <w:i w:val="0"/>
                <w:strike w:val="0"/>
                <w:color w:val="000000"/>
                <w:position w:val="-1"/>
                <w:sz w:val="32"/>
                <w:u w:val="none"/>
              </w:rPr>
              <w:t>新疆喀什地区英吉沙县安全生产监督管理局</w:t>
            </w:r>
          </w:p>
        </w:tc>
        <w:tc>
          <w:tcPr>
            <w:tcW w:w="2538" w:type="dxa"/>
            <w:vAlign w:val="center"/>
          </w:tcPr>
          <w:p>
            <w:pPr>
              <w:pageBreakBefore w:val="0"/>
              <w:spacing w:line="500" w:lineRule="exact"/>
              <w:ind w:firstLine="420" w:firstLineChars="200"/>
              <w:jc w:val="left"/>
              <w:textAlignment w:val="auto"/>
            </w:pPr>
          </w:p>
        </w:tc>
      </w:tr>
    </w:tbl>
    <w:p>
      <w:pPr>
        <w:spacing w:line="500" w:lineRule="exact"/>
        <w:rPr>
          <w:rFonts w:ascii="仿宋_GB2312" w:hAnsi="宋体" w:eastAsia="仿宋_GB2312" w:cs="宋体"/>
          <w:kern w:val="0"/>
          <w:sz w:val="32"/>
          <w:szCs w:val="32"/>
        </w:rPr>
      </w:pPr>
    </w:p>
    <w:p>
      <w:pPr>
        <w:spacing w:line="500" w:lineRule="exact"/>
        <w:rPr>
          <w:rFonts w:ascii="仿宋_GB2312" w:hAnsi="宋体" w:eastAsia="仿宋_GB2312" w:cs="宋体"/>
          <w:kern w:val="0"/>
          <w:sz w:val="32"/>
          <w:szCs w:val="32"/>
        </w:rPr>
      </w:pPr>
    </w:p>
    <w:p>
      <w:pPr>
        <w:spacing w:line="540" w:lineRule="exact"/>
        <w:jc w:val="center"/>
        <w:rPr>
          <w:rFonts w:ascii="黑体" w:hAnsi="黑体" w:eastAsia="黑体"/>
          <w:sz w:val="32"/>
          <w:szCs w:val="32"/>
        </w:rPr>
      </w:pPr>
      <w:r>
        <w:rPr>
          <w:rFonts w:hint="eastAsia" w:ascii="黑体" w:hAnsi="黑体" w:eastAsia="黑体"/>
          <w:sz w:val="32"/>
          <w:szCs w:val="32"/>
        </w:rPr>
        <w:t>第二部分 部门决算情况说明</w:t>
      </w:r>
    </w:p>
    <w:p>
      <w:pPr>
        <w:spacing w:line="540" w:lineRule="exact"/>
        <w:ind w:firstLine="640" w:firstLineChars="200"/>
        <w:rPr>
          <w:rFonts w:ascii="黑体" w:hAnsi="黑体" w:eastAsia="黑体"/>
          <w:sz w:val="32"/>
          <w:szCs w:val="32"/>
        </w:rPr>
      </w:pPr>
      <w:r>
        <w:rPr>
          <w:rFonts w:hint="eastAsia" w:ascii="黑体" w:hAnsi="黑体" w:eastAsia="黑体"/>
          <w:sz w:val="32"/>
          <w:szCs w:val="32"/>
        </w:rPr>
        <w:t>一、部门收支总体情况</w:t>
      </w:r>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（一）部门收入支出决算总体情况说明</w:t>
      </w:r>
    </w:p>
    <w:p>
      <w:pPr>
        <w:spacing w:line="540" w:lineRule="exact"/>
        <w:ind w:firstLine="640" w:firstLineChars="200"/>
        <w:rPr>
          <w:rFonts w:ascii="仿宋_GB2312" w:hAnsi="Calibri" w:eastAsia="仿宋_GB2312"/>
          <w:color w:val="000000" w:themeColor="text1"/>
          <w:sz w:val="32"/>
          <w:szCs w:val="32"/>
          <w:lang w:val="en-GB"/>
        </w:rPr>
      </w:pPr>
      <w:bookmarkStart w:id="4" w:name="OLE_LINK99"/>
      <w:bookmarkStart w:id="5" w:name="OLE_LINK100"/>
      <w:bookmarkStart w:id="6" w:name="OLE_LINK52"/>
      <w:r>
        <w:rPr>
          <w:rFonts w:hint="eastAsia" w:ascii="仿宋_GB2312" w:eastAsia="仿宋_GB2312"/>
          <w:color w:val="000000" w:themeColor="text1"/>
          <w:sz w:val="32"/>
          <w:szCs w:val="32"/>
        </w:rPr>
        <w:t>2018年度收入</w:t>
      </w:r>
      <w:r>
        <w:rPr>
          <w:rFonts w:hint="eastAsia" w:ascii="仿宋_GB2312" w:eastAsia="仿宋_GB2312"/>
          <w:sz w:val="32"/>
          <w:szCs w:val="32"/>
        </w:rPr>
        <w:t>130.92</w:t>
      </w:r>
      <w:r>
        <w:rPr>
          <w:rFonts w:hint="eastAsia" w:ascii="仿宋_GB2312" w:eastAsia="仿宋_GB2312"/>
          <w:color w:val="000000" w:themeColor="text1"/>
          <w:sz w:val="32"/>
          <w:szCs w:val="32"/>
        </w:rPr>
        <w:t>万元</w:t>
      </w:r>
      <w:bookmarkEnd w:id="4"/>
      <w:bookmarkEnd w:id="5"/>
      <w:r>
        <w:rPr>
          <w:rFonts w:hint="eastAsia" w:ascii="仿宋_GB2312" w:eastAsia="仿宋_GB2312"/>
          <w:sz w:val="32"/>
          <w:szCs w:val="32"/>
        </w:rPr>
        <w:t>，与上年相比，增加11.69万元，增长9.8%，增加的主要原因是：</w:t>
      </w:r>
      <w:r>
        <w:rPr>
          <w:rFonts w:hint="eastAsia" w:ascii="仿宋_GB2312" w:eastAsia="仿宋_GB2312"/>
          <w:color w:val="000000" w:themeColor="text1"/>
          <w:sz w:val="32"/>
          <w:szCs w:val="32"/>
        </w:rPr>
        <w:t>增加了人员经费，调整了工资收入；</w:t>
      </w:r>
      <w:bookmarkEnd w:id="6"/>
      <w:bookmarkStart w:id="7" w:name="OLE_LINK53"/>
      <w:r>
        <w:rPr>
          <w:rFonts w:hint="eastAsia" w:ascii="仿宋_GB2312" w:eastAsia="仿宋_GB2312"/>
          <w:color w:val="000000" w:themeColor="text1"/>
          <w:sz w:val="32"/>
          <w:szCs w:val="32"/>
        </w:rPr>
        <w:t>支出</w:t>
      </w:r>
      <w:r>
        <w:rPr>
          <w:rFonts w:hint="eastAsia" w:ascii="仿宋_GB2312" w:eastAsia="仿宋_GB2312"/>
          <w:sz w:val="32"/>
          <w:szCs w:val="32"/>
        </w:rPr>
        <w:t>130.92</w:t>
      </w:r>
      <w:r>
        <w:rPr>
          <w:rFonts w:hint="eastAsia" w:ascii="仿宋_GB2312" w:eastAsia="仿宋_GB2312"/>
          <w:color w:val="000000" w:themeColor="text1"/>
          <w:sz w:val="32"/>
          <w:szCs w:val="32"/>
        </w:rPr>
        <w:t>万元</w:t>
      </w:r>
      <w:r>
        <w:rPr>
          <w:rFonts w:hint="eastAsia" w:ascii="仿宋_GB2312" w:eastAsia="仿宋_GB2312"/>
          <w:sz w:val="32"/>
          <w:szCs w:val="32"/>
        </w:rPr>
        <w:t>，与上年相比，增加11.69万元，增长9.8%，增加的主要原因是：</w:t>
      </w:r>
      <w:r>
        <w:rPr>
          <w:rFonts w:hint="eastAsia" w:ascii="仿宋_GB2312" w:eastAsia="仿宋_GB2312"/>
          <w:color w:val="000000" w:themeColor="text1"/>
          <w:sz w:val="32"/>
          <w:szCs w:val="32"/>
        </w:rPr>
        <w:t>增加了人员经费，调整了工资收入；</w:t>
      </w:r>
      <w:bookmarkEnd w:id="7"/>
      <w:bookmarkStart w:id="8" w:name="OLE_LINK54"/>
      <w:r>
        <w:rPr>
          <w:rFonts w:hint="eastAsia" w:ascii="仿宋_GB2312" w:eastAsia="仿宋_GB2312"/>
          <w:color w:val="000000" w:themeColor="text1"/>
          <w:sz w:val="32"/>
          <w:szCs w:val="32"/>
        </w:rPr>
        <w:t>结余</w:t>
      </w:r>
      <w:r>
        <w:rPr>
          <w:rFonts w:hint="eastAsia" w:ascii="仿宋_GB2312" w:eastAsia="仿宋_GB2312"/>
          <w:sz w:val="32"/>
          <w:szCs w:val="32"/>
        </w:rPr>
        <w:t>0</w:t>
      </w:r>
      <w:r>
        <w:rPr>
          <w:rFonts w:hint="eastAsia" w:ascii="仿宋_GB2312" w:eastAsia="仿宋_GB2312"/>
          <w:color w:val="000000" w:themeColor="text1"/>
          <w:sz w:val="32"/>
          <w:szCs w:val="32"/>
        </w:rPr>
        <w:t>万元</w:t>
      </w:r>
      <w:r>
        <w:rPr>
          <w:rFonts w:hint="eastAsia" w:ascii="仿宋_GB2312" w:eastAsia="仿宋_GB2312"/>
          <w:sz w:val="32"/>
          <w:szCs w:val="32"/>
        </w:rPr>
        <w:t>，与上年相比无变化，主要原因是：</w:t>
      </w:r>
      <w:r>
        <w:rPr>
          <w:rFonts w:ascii="仿宋_GB2312" w:eastAsia="仿宋_GB2312"/>
          <w:color w:val="000000" w:themeColor="text1"/>
          <w:sz w:val="32"/>
          <w:szCs w:val="32"/>
        </w:rPr>
        <w:t>项目执行到位，年末无结转结余。</w:t>
      </w:r>
      <w:bookmarkEnd w:id="8"/>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（二）部门收入总体情况说明</w:t>
      </w:r>
    </w:p>
    <w:p>
      <w:pPr>
        <w:spacing w:line="54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本年收入合计</w:t>
      </w:r>
      <w:r>
        <w:rPr>
          <w:rFonts w:hint="eastAsia" w:ascii="仿宋_GB2312" w:eastAsia="仿宋_GB2312"/>
          <w:sz w:val="32"/>
          <w:szCs w:val="32"/>
        </w:rPr>
        <w:t>130.92</w:t>
      </w:r>
      <w:r>
        <w:rPr>
          <w:rFonts w:hint="eastAsia" w:ascii="仿宋_GB2312" w:eastAsia="仿宋_GB2312"/>
          <w:color w:val="000000" w:themeColor="text1"/>
          <w:sz w:val="32"/>
          <w:szCs w:val="32"/>
        </w:rPr>
        <w:t>万元，其中：</w:t>
      </w:r>
      <w:bookmarkStart w:id="9" w:name="OLE_LINK1"/>
      <w:r>
        <w:rPr>
          <w:rFonts w:hint="eastAsia" w:ascii="仿宋_GB2312" w:eastAsia="仿宋_GB2312"/>
          <w:color w:val="000000" w:themeColor="text1"/>
          <w:sz w:val="32"/>
          <w:szCs w:val="32"/>
        </w:rPr>
        <w:t>财政拨款收入</w:t>
      </w:r>
      <w:bookmarkEnd w:id="9"/>
      <w:r>
        <w:rPr>
          <w:rFonts w:hint="eastAsia" w:ascii="仿宋_GB2312" w:eastAsia="仿宋_GB2312"/>
          <w:sz w:val="32"/>
          <w:szCs w:val="32"/>
        </w:rPr>
        <w:t>130.92</w:t>
      </w:r>
      <w:r>
        <w:rPr>
          <w:rFonts w:hint="eastAsia" w:ascii="仿宋_GB2312" w:eastAsia="仿宋_GB2312"/>
          <w:color w:val="000000" w:themeColor="text1"/>
          <w:sz w:val="32"/>
          <w:szCs w:val="32"/>
        </w:rPr>
        <w:t>万元，占</w:t>
      </w:r>
      <w:r>
        <w:rPr>
          <w:rFonts w:hint="eastAsia" w:ascii="仿宋_GB2312" w:eastAsia="仿宋_GB2312"/>
          <w:sz w:val="32"/>
          <w:szCs w:val="32"/>
        </w:rPr>
        <w:t>100%</w:t>
      </w:r>
      <w:r>
        <w:rPr>
          <w:rFonts w:hint="eastAsia" w:ascii="仿宋_GB2312" w:eastAsia="仿宋_GB2312"/>
          <w:color w:val="000000" w:themeColor="text1"/>
          <w:sz w:val="32"/>
          <w:szCs w:val="32"/>
        </w:rPr>
        <w:t>；</w:t>
      </w:r>
      <w:bookmarkStart w:id="10" w:name="OLE_LINK2"/>
      <w:r>
        <w:rPr>
          <w:rFonts w:hint="eastAsia" w:ascii="仿宋_GB2312" w:eastAsia="仿宋_GB2312"/>
          <w:color w:val="000000" w:themeColor="text1"/>
          <w:sz w:val="32"/>
          <w:szCs w:val="32"/>
        </w:rPr>
        <w:t>上级补助收入</w:t>
      </w:r>
      <w:bookmarkEnd w:id="10"/>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11" w:name="OLE_LINK3"/>
      <w:r>
        <w:rPr>
          <w:rFonts w:hint="eastAsia" w:ascii="仿宋_GB2312" w:eastAsia="仿宋_GB2312"/>
          <w:color w:val="000000" w:themeColor="text1"/>
          <w:sz w:val="32"/>
          <w:szCs w:val="32"/>
        </w:rPr>
        <w:t>事业收入</w:t>
      </w:r>
      <w:bookmarkEnd w:id="11"/>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12" w:name="OLE_LINK4"/>
      <w:r>
        <w:rPr>
          <w:rFonts w:hint="eastAsia" w:ascii="仿宋_GB2312" w:eastAsia="仿宋_GB2312"/>
          <w:color w:val="000000" w:themeColor="text1"/>
          <w:sz w:val="32"/>
          <w:szCs w:val="32"/>
        </w:rPr>
        <w:t>经营收入</w:t>
      </w:r>
      <w:bookmarkEnd w:id="12"/>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13" w:name="OLE_LINK5"/>
      <w:r>
        <w:rPr>
          <w:rFonts w:hint="eastAsia" w:ascii="仿宋_GB2312" w:eastAsia="仿宋_GB2312"/>
          <w:color w:val="000000" w:themeColor="text1"/>
          <w:sz w:val="32"/>
          <w:szCs w:val="32"/>
        </w:rPr>
        <w:t>附属单位缴款</w:t>
      </w:r>
      <w:bookmarkEnd w:id="13"/>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14" w:name="OLE_LINK6"/>
      <w:r>
        <w:rPr>
          <w:rFonts w:hint="eastAsia" w:ascii="仿宋_GB2312" w:eastAsia="仿宋_GB2312"/>
          <w:color w:val="000000" w:themeColor="text1"/>
          <w:sz w:val="32"/>
          <w:szCs w:val="32"/>
        </w:rPr>
        <w:t>其他收入</w:t>
      </w:r>
      <w:bookmarkEnd w:id="14"/>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p>
    <w:p>
      <w:pPr>
        <w:spacing w:line="540" w:lineRule="exact"/>
        <w:ind w:firstLine="640" w:firstLineChars="200"/>
        <w:rPr>
          <w:rFonts w:ascii="仿宋_GB2312" w:eastAsia="仿宋_GB2312"/>
          <w:sz w:val="32"/>
          <w:szCs w:val="32"/>
        </w:rPr>
      </w:pPr>
      <w:bookmarkStart w:id="15" w:name="OLE_LINK55"/>
      <w:r>
        <w:rPr>
          <w:rFonts w:hint="eastAsia" w:ascii="仿宋_GB2312" w:eastAsia="仿宋_GB2312"/>
          <w:sz w:val="32"/>
          <w:szCs w:val="32"/>
        </w:rPr>
        <w:t>与年初预算数相比情</w:t>
      </w:r>
      <w:r>
        <w:rPr>
          <w:rFonts w:hint="eastAsia" w:ascii="仿宋_GB2312" w:eastAsia="仿宋_GB2312"/>
          <w:color w:val="000000" w:themeColor="text1"/>
          <w:sz w:val="32"/>
          <w:szCs w:val="32"/>
        </w:rPr>
        <w:t>况：本年收入年初预算数97.32万元</w:t>
      </w:r>
      <w:r>
        <w:rPr>
          <w:rFonts w:hint="eastAsia" w:ascii="仿宋_GB2312" w:eastAsia="仿宋_GB2312"/>
          <w:sz w:val="32"/>
          <w:szCs w:val="32"/>
        </w:rPr>
        <w:t>，决算数130.92万元</w:t>
      </w:r>
      <w:r>
        <w:rPr>
          <w:rFonts w:ascii="仿宋_GB2312" w:eastAsia="仿宋_GB2312"/>
          <w:sz w:val="32"/>
          <w:szCs w:val="32"/>
        </w:rPr>
        <w:t>，预决算差异率34.53%，差异主要原因是增加了人员经费，调整了工资收入（提高了艰苦边沿地区补助和基本工资）；拨入自治区安全生产监管监察项目资金，预算未安排。</w:t>
      </w:r>
      <w:bookmarkEnd w:id="15"/>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（三）部门支出总体情况说明</w:t>
      </w:r>
    </w:p>
    <w:p>
      <w:pPr>
        <w:spacing w:line="540" w:lineRule="exact"/>
        <w:ind w:firstLine="640" w:firstLineChars="200"/>
        <w:rPr>
          <w:rFonts w:ascii="仿宋_GB2312" w:eastAsia="仿宋_GB2312"/>
          <w:color w:val="000000" w:themeColor="text1"/>
          <w:spacing w:val="-6"/>
          <w:sz w:val="32"/>
          <w:szCs w:val="32"/>
        </w:rPr>
      </w:pPr>
      <w:bookmarkStart w:id="16" w:name="OLE_LINK7"/>
      <w:r>
        <w:rPr>
          <w:rFonts w:hint="eastAsia" w:ascii="仿宋_GB2312" w:eastAsia="仿宋_GB2312"/>
          <w:color w:val="000000" w:themeColor="text1"/>
          <w:sz w:val="32"/>
          <w:szCs w:val="32"/>
        </w:rPr>
        <w:t>本年支出合计</w:t>
      </w:r>
      <w:bookmarkEnd w:id="16"/>
      <w:r>
        <w:rPr>
          <w:rFonts w:hint="eastAsia" w:ascii="仿宋_GB2312" w:eastAsia="仿宋_GB2312"/>
          <w:sz w:val="32"/>
          <w:szCs w:val="32"/>
        </w:rPr>
        <w:t>130.92</w:t>
      </w:r>
      <w:r>
        <w:rPr>
          <w:rFonts w:hint="eastAsia" w:ascii="仿宋_GB2312" w:eastAsia="仿宋_GB2312"/>
          <w:color w:val="000000" w:themeColor="text1"/>
          <w:sz w:val="32"/>
          <w:szCs w:val="32"/>
        </w:rPr>
        <w:t>万元，其中：</w:t>
      </w:r>
      <w:bookmarkStart w:id="17" w:name="OLE_LINK8"/>
      <w:r>
        <w:rPr>
          <w:rFonts w:hint="eastAsia" w:ascii="仿宋_GB2312" w:eastAsia="仿宋_GB2312"/>
          <w:color w:val="000000" w:themeColor="text1"/>
          <w:sz w:val="32"/>
          <w:szCs w:val="32"/>
        </w:rPr>
        <w:t>基本支出</w:t>
      </w:r>
      <w:bookmarkEnd w:id="17"/>
      <w:r>
        <w:rPr>
          <w:rFonts w:hint="eastAsia" w:ascii="仿宋_GB2312" w:eastAsia="仿宋_GB2312"/>
          <w:sz w:val="32"/>
          <w:szCs w:val="32"/>
        </w:rPr>
        <w:t>121.53</w:t>
      </w:r>
      <w:r>
        <w:rPr>
          <w:rFonts w:hint="eastAsia" w:ascii="仿宋_GB2312" w:eastAsia="仿宋_GB2312"/>
          <w:color w:val="000000" w:themeColor="text1"/>
          <w:sz w:val="32"/>
          <w:szCs w:val="32"/>
        </w:rPr>
        <w:t>万元，占</w:t>
      </w:r>
      <w:r>
        <w:rPr>
          <w:rFonts w:hint="eastAsia" w:ascii="仿宋_GB2312" w:eastAsia="仿宋_GB2312"/>
          <w:sz w:val="32"/>
          <w:szCs w:val="32"/>
        </w:rPr>
        <w:t>92.83%</w:t>
      </w:r>
      <w:r>
        <w:rPr>
          <w:rFonts w:hint="eastAsia" w:ascii="仿宋_GB2312" w:eastAsia="仿宋_GB2312"/>
          <w:color w:val="000000" w:themeColor="text1"/>
          <w:sz w:val="32"/>
          <w:szCs w:val="32"/>
        </w:rPr>
        <w:t>；</w:t>
      </w:r>
      <w:bookmarkStart w:id="18" w:name="OLE_LINK9"/>
      <w:r>
        <w:rPr>
          <w:rFonts w:hint="eastAsia" w:ascii="仿宋_GB2312" w:eastAsia="仿宋_GB2312"/>
          <w:color w:val="000000" w:themeColor="text1"/>
          <w:sz w:val="32"/>
          <w:szCs w:val="32"/>
        </w:rPr>
        <w:t>项目支出</w:t>
      </w:r>
      <w:bookmarkEnd w:id="18"/>
      <w:r>
        <w:rPr>
          <w:rFonts w:hint="eastAsia" w:ascii="仿宋_GB2312" w:eastAsia="仿宋_GB2312"/>
          <w:sz w:val="32"/>
          <w:szCs w:val="32"/>
        </w:rPr>
        <w:t>9.39</w:t>
      </w:r>
      <w:r>
        <w:rPr>
          <w:rFonts w:hint="eastAsia" w:ascii="仿宋_GB2312" w:eastAsia="仿宋_GB2312"/>
          <w:color w:val="000000" w:themeColor="text1"/>
          <w:sz w:val="32"/>
          <w:szCs w:val="32"/>
        </w:rPr>
        <w:t>万元，占</w:t>
      </w:r>
      <w:r>
        <w:rPr>
          <w:rFonts w:hint="eastAsia" w:ascii="仿宋_GB2312" w:eastAsia="仿宋_GB2312"/>
          <w:sz w:val="32"/>
          <w:szCs w:val="32"/>
        </w:rPr>
        <w:t>7.17%</w:t>
      </w:r>
      <w:r>
        <w:rPr>
          <w:rFonts w:hint="eastAsia" w:ascii="仿宋_GB2312" w:eastAsia="仿宋_GB2312"/>
          <w:color w:val="000000" w:themeColor="text1"/>
          <w:sz w:val="32"/>
          <w:szCs w:val="32"/>
        </w:rPr>
        <w:t>；</w:t>
      </w:r>
      <w:bookmarkStart w:id="19" w:name="OLE_LINK10"/>
      <w:r>
        <w:rPr>
          <w:rFonts w:hint="eastAsia" w:ascii="仿宋_GB2312" w:eastAsia="仿宋_GB2312"/>
          <w:color w:val="000000" w:themeColor="text1"/>
          <w:sz w:val="32"/>
          <w:szCs w:val="32"/>
        </w:rPr>
        <w:t>上缴上级支出</w:t>
      </w:r>
      <w:bookmarkEnd w:id="19"/>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20" w:name="OLE_LINK11"/>
      <w:r>
        <w:rPr>
          <w:rFonts w:hint="eastAsia" w:ascii="仿宋_GB2312" w:eastAsia="仿宋_GB2312"/>
          <w:color w:val="000000" w:themeColor="text1"/>
          <w:spacing w:val="-6"/>
          <w:sz w:val="32"/>
          <w:szCs w:val="32"/>
        </w:rPr>
        <w:t>经营支出</w:t>
      </w:r>
      <w:bookmarkEnd w:id="20"/>
      <w:r>
        <w:rPr>
          <w:rFonts w:hint="eastAsia" w:ascii="仿宋_GB2312" w:eastAsia="仿宋_GB2312"/>
          <w:sz w:val="32"/>
          <w:szCs w:val="32"/>
        </w:rPr>
        <w:t>0</w:t>
      </w:r>
      <w:r>
        <w:rPr>
          <w:rFonts w:hint="eastAsia" w:ascii="仿宋_GB2312" w:eastAsia="仿宋_GB2312"/>
          <w:color w:val="000000" w:themeColor="text1"/>
          <w:spacing w:val="-6"/>
          <w:sz w:val="32"/>
          <w:szCs w:val="32"/>
        </w:rPr>
        <w:t>万元，占</w:t>
      </w:r>
      <w:r>
        <w:rPr>
          <w:rFonts w:hint="eastAsia" w:ascii="仿宋_GB2312" w:eastAsia="仿宋_GB2312"/>
          <w:sz w:val="32"/>
          <w:szCs w:val="32"/>
        </w:rPr>
        <w:t>0%</w:t>
      </w:r>
      <w:r>
        <w:rPr>
          <w:rFonts w:hint="eastAsia" w:ascii="仿宋_GB2312" w:eastAsia="仿宋_GB2312"/>
          <w:color w:val="000000" w:themeColor="text1"/>
          <w:spacing w:val="-6"/>
          <w:sz w:val="32"/>
          <w:szCs w:val="32"/>
        </w:rPr>
        <w:t>；</w:t>
      </w:r>
      <w:bookmarkStart w:id="21" w:name="OLE_LINK12"/>
      <w:r>
        <w:rPr>
          <w:rFonts w:hint="eastAsia" w:ascii="仿宋_GB2312" w:eastAsia="仿宋_GB2312"/>
          <w:color w:val="000000" w:themeColor="text1"/>
          <w:spacing w:val="-6"/>
          <w:sz w:val="32"/>
          <w:szCs w:val="32"/>
        </w:rPr>
        <w:t>对附属单位补助支出</w:t>
      </w:r>
      <w:bookmarkEnd w:id="21"/>
      <w:r>
        <w:rPr>
          <w:rFonts w:hint="eastAsia" w:ascii="仿宋_GB2312" w:eastAsia="仿宋_GB2312"/>
          <w:sz w:val="32"/>
          <w:szCs w:val="32"/>
        </w:rPr>
        <w:t>0</w:t>
      </w:r>
      <w:r>
        <w:rPr>
          <w:rFonts w:hint="eastAsia" w:ascii="仿宋_GB2312" w:eastAsia="仿宋_GB2312"/>
          <w:color w:val="000000" w:themeColor="text1"/>
          <w:spacing w:val="-6"/>
          <w:sz w:val="32"/>
          <w:szCs w:val="32"/>
        </w:rPr>
        <w:t>万元，占</w:t>
      </w:r>
      <w:r>
        <w:rPr>
          <w:rFonts w:hint="eastAsia" w:ascii="仿宋_GB2312" w:eastAsia="仿宋_GB2312"/>
          <w:sz w:val="32"/>
          <w:szCs w:val="32"/>
        </w:rPr>
        <w:t>0%</w:t>
      </w:r>
    </w:p>
    <w:p>
      <w:pPr>
        <w:spacing w:line="540" w:lineRule="exact"/>
        <w:ind w:firstLine="640" w:firstLineChars="200"/>
        <w:rPr>
          <w:rFonts w:ascii="仿宋_GB2312" w:eastAsia="仿宋_GB2312"/>
          <w:sz w:val="32"/>
          <w:szCs w:val="32"/>
        </w:rPr>
      </w:pPr>
      <w:bookmarkStart w:id="22" w:name="OLE_LINK56"/>
      <w:r>
        <w:rPr>
          <w:rFonts w:hint="eastAsia" w:ascii="仿宋_GB2312" w:eastAsia="仿宋_GB2312"/>
          <w:color w:val="000000" w:themeColor="text1"/>
          <w:sz w:val="32"/>
          <w:szCs w:val="32"/>
        </w:rPr>
        <w:t>与年初预算数相比情况：本年支出年初预算数97.32万元，</w:t>
      </w:r>
      <w:r>
        <w:rPr>
          <w:rFonts w:hint="eastAsia" w:ascii="仿宋_GB2312" w:eastAsia="仿宋_GB2312"/>
          <w:sz w:val="32"/>
          <w:szCs w:val="32"/>
        </w:rPr>
        <w:t>决算数130.92万元</w:t>
      </w:r>
      <w:r>
        <w:rPr>
          <w:rFonts w:ascii="仿宋_GB2312" w:eastAsia="仿宋_GB2312"/>
          <w:sz w:val="32"/>
          <w:szCs w:val="32"/>
        </w:rPr>
        <w:t>，预决算差异率34.53%，差异主要原因是增加了人员经费，调整了工资收入（提高了艰苦边沿地区补助和基本工资）；拨入自治区安全生产监管监察项目资金，预算未安排。</w:t>
      </w:r>
    </w:p>
    <w:bookmarkEnd w:id="22"/>
    <w:p>
      <w:pPr>
        <w:spacing w:line="540" w:lineRule="exact"/>
        <w:ind w:firstLine="640" w:firstLineChars="200"/>
        <w:rPr>
          <w:rFonts w:ascii="黑体" w:hAnsi="黑体" w:eastAsia="黑体"/>
          <w:sz w:val="32"/>
          <w:szCs w:val="32"/>
        </w:rPr>
      </w:pPr>
      <w:r>
        <w:rPr>
          <w:rFonts w:hint="eastAsia" w:ascii="黑体" w:hAnsi="黑体" w:eastAsia="黑体"/>
          <w:sz w:val="32"/>
          <w:szCs w:val="32"/>
        </w:rPr>
        <w:t>二、部门财政拨款收支情况</w:t>
      </w:r>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（一）财政拨款收支总体情况说明</w:t>
      </w:r>
    </w:p>
    <w:p>
      <w:pPr>
        <w:spacing w:line="540" w:lineRule="exact"/>
        <w:ind w:firstLine="640" w:firstLineChars="200"/>
        <w:rPr>
          <w:rFonts w:ascii="仿宋_GB2312" w:eastAsia="仿宋_GB2312"/>
          <w:color w:val="000000" w:themeColor="text1"/>
          <w:sz w:val="32"/>
          <w:szCs w:val="32"/>
        </w:rPr>
      </w:pPr>
      <w:bookmarkStart w:id="23" w:name="OLE_LINK58"/>
      <w:bookmarkStart w:id="24" w:name="OLE_LINK57"/>
      <w:r>
        <w:rPr>
          <w:rFonts w:hint="eastAsia" w:ascii="仿宋_GB2312" w:eastAsia="仿宋_GB2312"/>
          <w:color w:val="000000" w:themeColor="text1"/>
          <w:sz w:val="32"/>
          <w:szCs w:val="32"/>
        </w:rPr>
        <w:t>2018年度</w:t>
      </w:r>
      <w:bookmarkStart w:id="25" w:name="OLE_LINK13"/>
      <w:r>
        <w:rPr>
          <w:rFonts w:hint="eastAsia" w:ascii="仿宋_GB2312" w:eastAsia="仿宋_GB2312"/>
          <w:color w:val="000000" w:themeColor="text1"/>
          <w:sz w:val="32"/>
          <w:szCs w:val="32"/>
        </w:rPr>
        <w:t>财政拨款收入</w:t>
      </w:r>
      <w:bookmarkEnd w:id="25"/>
      <w:r>
        <w:rPr>
          <w:rFonts w:hint="eastAsia" w:ascii="仿宋_GB2312" w:eastAsia="仿宋_GB2312"/>
          <w:sz w:val="32"/>
          <w:szCs w:val="32"/>
        </w:rPr>
        <w:t>130.92</w:t>
      </w:r>
      <w:r>
        <w:rPr>
          <w:rFonts w:hint="eastAsia" w:ascii="仿宋_GB2312" w:eastAsia="仿宋_GB2312"/>
          <w:color w:val="000000" w:themeColor="text1"/>
          <w:sz w:val="32"/>
          <w:szCs w:val="32"/>
        </w:rPr>
        <w:t>万元</w:t>
      </w:r>
      <w:r>
        <w:rPr>
          <w:rFonts w:hint="eastAsia" w:ascii="仿宋_GB2312" w:eastAsia="仿宋_GB2312"/>
          <w:sz w:val="32"/>
          <w:szCs w:val="32"/>
        </w:rPr>
        <w:t>，与上年相比，增加11.69万元，增长9.8%，增加的主要原因是：增加了人员经费，调整了工资收入。</w:t>
      </w:r>
      <w:bookmarkEnd w:id="23"/>
      <w:bookmarkEnd w:id="24"/>
      <w:bookmarkStart w:id="26" w:name="OLE_LINK14"/>
      <w:bookmarkStart w:id="27" w:name="OLE_LINK59"/>
      <w:bookmarkStart w:id="28" w:name="OLE_LINK60"/>
      <w:r>
        <w:rPr>
          <w:rFonts w:hint="eastAsia" w:ascii="仿宋_GB2312" w:eastAsia="仿宋_GB2312"/>
          <w:color w:val="000000" w:themeColor="text1"/>
          <w:sz w:val="32"/>
          <w:szCs w:val="32"/>
        </w:rPr>
        <w:t>财政拨款支出</w:t>
      </w:r>
      <w:bookmarkEnd w:id="26"/>
      <w:r>
        <w:rPr>
          <w:rFonts w:hint="eastAsia" w:ascii="仿宋_GB2312" w:eastAsia="仿宋_GB2312"/>
          <w:sz w:val="32"/>
          <w:szCs w:val="32"/>
        </w:rPr>
        <w:t>130.92</w:t>
      </w:r>
      <w:r>
        <w:rPr>
          <w:rFonts w:hint="eastAsia" w:ascii="仿宋_GB2312" w:eastAsia="仿宋_GB2312"/>
          <w:color w:val="000000" w:themeColor="text1"/>
          <w:sz w:val="32"/>
          <w:szCs w:val="32"/>
        </w:rPr>
        <w:t>万元</w:t>
      </w:r>
      <w:r>
        <w:rPr>
          <w:rFonts w:hint="eastAsia" w:ascii="仿宋_GB2312" w:eastAsia="仿宋_GB2312"/>
          <w:sz w:val="32"/>
          <w:szCs w:val="32"/>
        </w:rPr>
        <w:t>，与上年相比，增加11.69万元，增长9.8%，增加的主要原因是：</w:t>
      </w:r>
      <w:r>
        <w:rPr>
          <w:rFonts w:ascii="仿宋_GB2312" w:eastAsia="仿宋_GB2312"/>
          <w:sz w:val="32"/>
          <w:szCs w:val="32"/>
        </w:rPr>
        <w:t>增加了人员经费，调整了工资收入。</w:t>
      </w:r>
      <w:bookmarkEnd w:id="27"/>
      <w:bookmarkEnd w:id="28"/>
      <w:bookmarkStart w:id="29" w:name="OLE_LINK61"/>
      <w:r>
        <w:rPr>
          <w:rFonts w:hint="eastAsia" w:ascii="仿宋_GB2312" w:eastAsia="仿宋_GB2312"/>
          <w:color w:val="000000" w:themeColor="text1"/>
          <w:sz w:val="32"/>
          <w:szCs w:val="32"/>
        </w:rPr>
        <w:t>其中：</w:t>
      </w:r>
      <w:bookmarkStart w:id="30" w:name="OLE_LINK15"/>
      <w:r>
        <w:rPr>
          <w:rFonts w:hint="eastAsia" w:ascii="仿宋_GB2312" w:eastAsia="仿宋_GB2312"/>
          <w:color w:val="000000" w:themeColor="text1"/>
          <w:sz w:val="32"/>
          <w:szCs w:val="32"/>
        </w:rPr>
        <w:t>基本支出</w:t>
      </w:r>
      <w:bookmarkEnd w:id="30"/>
      <w:r>
        <w:rPr>
          <w:rFonts w:hint="eastAsia" w:ascii="仿宋_GB2312" w:eastAsia="仿宋_GB2312"/>
          <w:sz w:val="32"/>
          <w:szCs w:val="32"/>
        </w:rPr>
        <w:t>121.53</w:t>
      </w:r>
      <w:r>
        <w:rPr>
          <w:rFonts w:hint="eastAsia" w:ascii="仿宋_GB2312" w:eastAsia="仿宋_GB2312"/>
          <w:color w:val="000000" w:themeColor="text1"/>
          <w:sz w:val="32"/>
          <w:szCs w:val="32"/>
        </w:rPr>
        <w:t>万元，项目支出</w:t>
      </w:r>
      <w:r>
        <w:rPr>
          <w:rFonts w:hint="eastAsia" w:ascii="仿宋_GB2312" w:eastAsia="仿宋_GB2312"/>
          <w:sz w:val="32"/>
          <w:szCs w:val="32"/>
        </w:rPr>
        <w:t>9.39</w:t>
      </w:r>
      <w:r>
        <w:rPr>
          <w:rFonts w:hint="eastAsia" w:ascii="仿宋_GB2312" w:eastAsia="仿宋_GB2312"/>
          <w:color w:val="000000" w:themeColor="text1"/>
          <w:sz w:val="32"/>
          <w:szCs w:val="32"/>
        </w:rPr>
        <w:t>万元。</w:t>
      </w:r>
      <w:bookmarkStart w:id="31" w:name="OLE_LINK16"/>
      <w:r>
        <w:rPr>
          <w:rFonts w:hint="eastAsia" w:ascii="仿宋_GB2312" w:eastAsia="仿宋_GB2312"/>
          <w:color w:val="000000" w:themeColor="text1"/>
          <w:sz w:val="32"/>
          <w:szCs w:val="32"/>
        </w:rPr>
        <w:t>财政拨款结转结余</w:t>
      </w:r>
      <w:bookmarkEnd w:id="31"/>
      <w:r>
        <w:rPr>
          <w:rFonts w:hint="eastAsia" w:ascii="仿宋_GB2312" w:eastAsia="仿宋_GB2312"/>
          <w:sz w:val="32"/>
          <w:szCs w:val="32"/>
        </w:rPr>
        <w:t>0</w:t>
      </w:r>
      <w:r>
        <w:rPr>
          <w:rFonts w:hint="eastAsia" w:ascii="仿宋_GB2312" w:eastAsia="仿宋_GB2312"/>
          <w:color w:val="000000" w:themeColor="text1"/>
          <w:sz w:val="32"/>
          <w:szCs w:val="32"/>
        </w:rPr>
        <w:t>万元</w:t>
      </w:r>
      <w:r>
        <w:rPr>
          <w:rFonts w:hint="eastAsia" w:ascii="仿宋_GB2312" w:eastAsia="仿宋_GB2312"/>
          <w:sz w:val="32"/>
          <w:szCs w:val="32"/>
        </w:rPr>
        <w:t>，与上年相比无变化，主要原因是：项目执行到位，年末无结转结余。</w:t>
      </w:r>
      <w:bookmarkEnd w:id="29"/>
    </w:p>
    <w:p>
      <w:pPr>
        <w:spacing w:line="540" w:lineRule="exact"/>
        <w:ind w:firstLine="640" w:firstLineChars="200"/>
        <w:rPr>
          <w:rFonts w:ascii="仿宋_GB2312" w:eastAsia="仿宋_GB2312"/>
          <w:color w:val="000000" w:themeColor="text1"/>
          <w:sz w:val="32"/>
          <w:szCs w:val="32"/>
        </w:rPr>
      </w:pPr>
      <w:bookmarkStart w:id="32" w:name="OLE_LINK62"/>
      <w:r>
        <w:rPr>
          <w:rFonts w:hint="eastAsia" w:ascii="仿宋_GB2312" w:eastAsia="仿宋_GB2312"/>
          <w:color w:val="000000" w:themeColor="text1"/>
          <w:sz w:val="32"/>
          <w:szCs w:val="32"/>
        </w:rPr>
        <w:t>与年初预算数相比情况：财政拨款收入年初预算数</w:t>
      </w:r>
      <w:r>
        <w:rPr>
          <w:rFonts w:ascii="仿宋_GB2312" w:eastAsia="仿宋_GB2312"/>
          <w:color w:val="000000" w:themeColor="text1"/>
          <w:sz w:val="32"/>
          <w:szCs w:val="32"/>
        </w:rPr>
        <w:t>97.32</w:t>
      </w:r>
      <w:r>
        <w:rPr>
          <w:rFonts w:hint="eastAsia" w:ascii="仿宋_GB2312" w:eastAsia="仿宋_GB2312"/>
          <w:color w:val="000000" w:themeColor="text1"/>
          <w:sz w:val="32"/>
          <w:szCs w:val="32"/>
        </w:rPr>
        <w:t>万元，决算数</w:t>
      </w:r>
      <w:r>
        <w:rPr>
          <w:rFonts w:hint="eastAsia" w:ascii="仿宋_GB2312" w:eastAsia="仿宋_GB2312"/>
          <w:sz w:val="32"/>
          <w:szCs w:val="32"/>
        </w:rPr>
        <w:t>130.92</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，预决算差异率34.53%，差异主要原因是增加了人员经费，调整了工资收入（提高了艰苦边沿地区补助和基本工资）；拨入自治区安全生产监管监察项目资金，预算未安排。</w:t>
      </w:r>
      <w:bookmarkEnd w:id="32"/>
      <w:bookmarkStart w:id="33" w:name="OLE_LINK63"/>
      <w:r>
        <w:rPr>
          <w:rFonts w:hint="eastAsia" w:ascii="仿宋_GB2312" w:eastAsia="仿宋_GB2312"/>
          <w:color w:val="000000" w:themeColor="text1"/>
          <w:sz w:val="32"/>
          <w:szCs w:val="32"/>
        </w:rPr>
        <w:t>财政拨款支出年初预算数</w:t>
      </w:r>
      <w:r>
        <w:rPr>
          <w:rFonts w:ascii="仿宋_GB2312" w:eastAsia="仿宋_GB2312"/>
          <w:color w:val="000000" w:themeColor="text1"/>
          <w:sz w:val="32"/>
          <w:szCs w:val="32"/>
        </w:rPr>
        <w:t>97.32</w:t>
      </w:r>
      <w:r>
        <w:rPr>
          <w:rFonts w:hint="eastAsia" w:ascii="仿宋_GB2312" w:eastAsia="仿宋_GB2312"/>
          <w:color w:val="000000" w:themeColor="text1"/>
          <w:sz w:val="32"/>
          <w:szCs w:val="32"/>
        </w:rPr>
        <w:t>万元，决算数</w:t>
      </w:r>
      <w:r>
        <w:rPr>
          <w:rFonts w:hint="eastAsia" w:ascii="仿宋_GB2312" w:eastAsia="仿宋_GB2312"/>
          <w:sz w:val="32"/>
          <w:szCs w:val="32"/>
        </w:rPr>
        <w:t>130.92</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，预决算差异率34.53%，差异主要原因是增加了人员经费，调整了工资收入（提高了艰苦边沿地区补助和基本工资）；拨入自治区安全生产监管监察项目资金，预算未安排。</w:t>
      </w:r>
      <w:bookmarkEnd w:id="33"/>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（二）一般公共预算收支决算情况说明</w:t>
      </w:r>
    </w:p>
    <w:p>
      <w:pPr>
        <w:spacing w:line="540" w:lineRule="exact"/>
        <w:ind w:firstLine="640" w:firstLineChars="200"/>
        <w:rPr>
          <w:rFonts w:ascii="仿宋_GB2312" w:eastAsia="仿宋_GB2312"/>
          <w:color w:val="000000" w:themeColor="text1"/>
          <w:sz w:val="32"/>
          <w:szCs w:val="32"/>
        </w:rPr>
      </w:pPr>
      <w:bookmarkStart w:id="34" w:name="OLE_LINK64"/>
      <w:r>
        <w:rPr>
          <w:rFonts w:hint="eastAsia" w:ascii="仿宋_GB2312" w:eastAsia="仿宋_GB2312"/>
          <w:color w:val="000000" w:themeColor="text1"/>
          <w:sz w:val="32"/>
          <w:szCs w:val="32"/>
        </w:rPr>
        <w:t>2018年度</w:t>
      </w:r>
      <w:bookmarkStart w:id="35" w:name="OLE_LINK17"/>
      <w:r>
        <w:rPr>
          <w:rFonts w:hint="eastAsia" w:ascii="仿宋_GB2312" w:eastAsia="仿宋_GB2312"/>
          <w:color w:val="000000" w:themeColor="text1"/>
          <w:sz w:val="32"/>
          <w:szCs w:val="32"/>
        </w:rPr>
        <w:t>一般公共预算财政拨款收入</w:t>
      </w:r>
      <w:bookmarkEnd w:id="35"/>
      <w:r>
        <w:rPr>
          <w:rFonts w:ascii="仿宋_GB2312" w:eastAsia="仿宋_GB2312"/>
          <w:color w:val="000000" w:themeColor="text1"/>
          <w:sz w:val="32"/>
          <w:szCs w:val="32"/>
        </w:rPr>
        <w:t>130.92</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，与上年相比，增加11.69万元，增长9.8%，增加的主要原因是：增加了人员经费，调整了工资收入。</w:t>
      </w:r>
      <w:bookmarkEnd w:id="34"/>
      <w:bookmarkStart w:id="36" w:name="OLE_LINK18"/>
      <w:bookmarkStart w:id="37" w:name="OLE_LINK65"/>
      <w:r>
        <w:rPr>
          <w:rFonts w:hint="eastAsia" w:ascii="仿宋_GB2312" w:eastAsia="仿宋_GB2312"/>
          <w:color w:val="000000" w:themeColor="text1"/>
          <w:sz w:val="32"/>
          <w:szCs w:val="32"/>
        </w:rPr>
        <w:t>一般公共预算财政拨款支出</w:t>
      </w:r>
      <w:r>
        <w:rPr>
          <w:rFonts w:hint="eastAsia" w:ascii="仿宋_GB2312" w:eastAsia="仿宋_GB2312"/>
          <w:sz w:val="32"/>
          <w:szCs w:val="32"/>
        </w:rPr>
        <w:t>130.92</w:t>
      </w:r>
      <w:r>
        <w:rPr>
          <w:rFonts w:hint="eastAsia" w:ascii="仿宋_GB2312" w:eastAsia="仿宋_GB2312"/>
          <w:color w:val="000000" w:themeColor="text1"/>
          <w:sz w:val="32"/>
          <w:szCs w:val="32"/>
        </w:rPr>
        <w:t>万元</w:t>
      </w:r>
      <w:bookmarkEnd w:id="36"/>
      <w:r>
        <w:rPr>
          <w:rFonts w:hint="eastAsia" w:ascii="仿宋_GB2312" w:eastAsia="仿宋_GB2312"/>
          <w:sz w:val="32"/>
          <w:szCs w:val="32"/>
        </w:rPr>
        <w:t>，与上年相比，增加11.69万元，增长9.8%，增加的主要原因是：增加了人员经费，调整了工资收入。</w:t>
      </w:r>
      <w:bookmarkEnd w:id="37"/>
      <w:r>
        <w:rPr>
          <w:rFonts w:hint="eastAsia" w:ascii="仿宋_GB2312" w:eastAsia="仿宋_GB2312"/>
          <w:color w:val="000000" w:themeColor="text1"/>
          <w:sz w:val="32"/>
          <w:szCs w:val="32"/>
        </w:rPr>
        <w:t>其中：</w:t>
      </w:r>
      <w:bookmarkStart w:id="38" w:name="OLE_LINK19"/>
      <w:r>
        <w:rPr>
          <w:rFonts w:hint="eastAsia" w:ascii="仿宋_GB2312" w:eastAsia="仿宋_GB2312"/>
          <w:color w:val="000000" w:themeColor="text1"/>
          <w:sz w:val="32"/>
          <w:szCs w:val="32"/>
        </w:rPr>
        <w:t>按功能分类科目（按类级科目公开）</w:t>
      </w:r>
      <w:bookmarkEnd w:id="38"/>
      <w:r>
        <w:rPr>
          <w:rFonts w:hint="eastAsia" w:ascii="仿宋_GB2312" w:eastAsia="仿宋_GB2312"/>
          <w:color w:val="000000" w:themeColor="text1"/>
          <w:sz w:val="32"/>
          <w:szCs w:val="32"/>
        </w:rPr>
        <w:t>，</w:t>
      </w:r>
      <w:r>
        <w:rPr>
          <w:rFonts w:hint="eastAsia" w:ascii="仿宋_GB2312" w:eastAsia="仿宋_GB2312"/>
          <w:sz w:val="32"/>
          <w:szCs w:val="32"/>
        </w:rPr>
        <w:t>住房保障支出7.58万元,资源勘探信息等支出112万元,社会保障和就业支出11.34万元。</w:t>
      </w:r>
      <w:bookmarkStart w:id="39" w:name="OLE_LINK20"/>
      <w:bookmarkStart w:id="40" w:name="OLE_LINK21"/>
      <w:r>
        <w:rPr>
          <w:rFonts w:hint="eastAsia" w:ascii="仿宋_GB2312" w:eastAsia="仿宋_GB2312"/>
          <w:color w:val="000000" w:themeColor="text1"/>
          <w:sz w:val="32"/>
          <w:szCs w:val="32"/>
        </w:rPr>
        <w:t>按经济分类科目</w:t>
      </w:r>
      <w:bookmarkEnd w:id="39"/>
      <w:r>
        <w:rPr>
          <w:rFonts w:hint="eastAsia" w:ascii="仿宋_GB2312" w:eastAsia="仿宋_GB2312"/>
          <w:color w:val="000000" w:themeColor="text1"/>
          <w:sz w:val="32"/>
          <w:szCs w:val="32"/>
        </w:rPr>
        <w:t>（按类级科目公开）</w:t>
      </w:r>
      <w:bookmarkEnd w:id="40"/>
      <w:r>
        <w:rPr>
          <w:rFonts w:hint="eastAsia" w:ascii="仿宋_GB2312" w:eastAsia="仿宋_GB2312"/>
          <w:color w:val="000000" w:themeColor="text1"/>
          <w:sz w:val="32"/>
          <w:szCs w:val="32"/>
        </w:rPr>
        <w:t>，</w:t>
      </w:r>
      <w:r>
        <w:rPr>
          <w:rFonts w:hint="eastAsia" w:ascii="仿宋_GB2312" w:eastAsia="仿宋_GB2312"/>
          <w:sz w:val="32"/>
          <w:szCs w:val="32"/>
        </w:rPr>
        <w:t>工资福利支出104.34万元,商品和服务支出9.23万元,对个人和家庭的补助7.96万元,资本性支出9.39万元。</w:t>
      </w:r>
    </w:p>
    <w:p>
      <w:pPr>
        <w:spacing w:line="540" w:lineRule="exact"/>
        <w:ind w:firstLine="640" w:firstLineChars="200"/>
        <w:rPr>
          <w:rFonts w:ascii="仿宋_GB2312" w:eastAsia="仿宋_GB2312"/>
          <w:color w:val="000000" w:themeColor="text1"/>
          <w:sz w:val="32"/>
          <w:szCs w:val="32"/>
        </w:rPr>
      </w:pPr>
      <w:bookmarkStart w:id="41" w:name="OLE_LINK66"/>
      <w:bookmarkStart w:id="42" w:name="OLE_LINK67"/>
      <w:r>
        <w:rPr>
          <w:rFonts w:hint="eastAsia" w:ascii="仿宋_GB2312" w:eastAsia="仿宋_GB2312"/>
          <w:color w:val="000000" w:themeColor="text1"/>
          <w:sz w:val="32"/>
          <w:szCs w:val="32"/>
        </w:rPr>
        <w:t>与年初预算数相比情况：一般公共预算财政拨款收入年初预算数</w:t>
      </w:r>
      <w:r>
        <w:rPr>
          <w:rFonts w:ascii="仿宋_GB2312" w:eastAsia="仿宋_GB2312"/>
          <w:color w:val="000000" w:themeColor="text1"/>
          <w:sz w:val="32"/>
          <w:szCs w:val="32"/>
        </w:rPr>
        <w:t>97.32</w:t>
      </w:r>
      <w:r>
        <w:rPr>
          <w:rFonts w:hint="eastAsia" w:ascii="仿宋_GB2312" w:eastAsia="仿宋_GB2312"/>
          <w:color w:val="000000" w:themeColor="text1"/>
          <w:sz w:val="32"/>
          <w:szCs w:val="32"/>
        </w:rPr>
        <w:t>万元，决算数</w:t>
      </w:r>
      <w:r>
        <w:rPr>
          <w:rFonts w:ascii="仿宋_GB2312" w:eastAsia="仿宋_GB2312"/>
          <w:color w:val="000000" w:themeColor="text1"/>
          <w:sz w:val="32"/>
          <w:szCs w:val="32"/>
        </w:rPr>
        <w:t>130.92</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，预决算差异率34.53%，差异主要原因是增加了人员经费，调整了工资收入（提高了艰苦边沿地区补助和基本工资）；拨入自治区安全生产监管监察项目资金，预算未安排。</w:t>
      </w:r>
      <w:bookmarkEnd w:id="41"/>
      <w:bookmarkEnd w:id="42"/>
      <w:bookmarkStart w:id="43" w:name="OLE_LINK68"/>
      <w:r>
        <w:rPr>
          <w:rFonts w:hint="eastAsia" w:ascii="仿宋_GB2312" w:eastAsia="仿宋_GB2312"/>
          <w:color w:val="000000" w:themeColor="text1"/>
          <w:sz w:val="32"/>
          <w:szCs w:val="32"/>
        </w:rPr>
        <w:t>一般公共预算财政拨款支出年初预算数</w:t>
      </w:r>
      <w:r>
        <w:rPr>
          <w:rFonts w:ascii="仿宋_GB2312" w:eastAsia="仿宋_GB2312"/>
          <w:color w:val="000000" w:themeColor="text1"/>
          <w:sz w:val="32"/>
          <w:szCs w:val="32"/>
        </w:rPr>
        <w:t>97.32</w:t>
      </w:r>
      <w:r>
        <w:rPr>
          <w:rFonts w:hint="eastAsia" w:ascii="仿宋_GB2312" w:eastAsia="仿宋_GB2312"/>
          <w:color w:val="000000" w:themeColor="text1"/>
          <w:sz w:val="32"/>
          <w:szCs w:val="32"/>
        </w:rPr>
        <w:t>万元，决算数</w:t>
      </w:r>
      <w:r>
        <w:rPr>
          <w:rFonts w:ascii="仿宋_GB2312" w:eastAsia="仿宋_GB2312"/>
          <w:color w:val="000000" w:themeColor="text1"/>
          <w:sz w:val="32"/>
          <w:szCs w:val="32"/>
        </w:rPr>
        <w:t>130.92</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，预决算差异率34.53%，差异主要原因是增加了人员经费，调整了工资收入（提高了艰苦边沿地区补助和基本工资）；拨入自治区安全生产监管监察项目资金，预算未安排。</w:t>
      </w:r>
      <w:bookmarkEnd w:id="43"/>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（三）政府性基金预算收支决算情况说明</w:t>
      </w:r>
    </w:p>
    <w:p>
      <w:pPr>
        <w:spacing w:line="540" w:lineRule="exact"/>
        <w:ind w:firstLine="640" w:firstLineChars="200"/>
        <w:rPr>
          <w:rFonts w:ascii="仿宋_GB2312" w:eastAsia="仿宋_GB2312"/>
          <w:color w:val="000000" w:themeColor="text1"/>
          <w:sz w:val="32"/>
          <w:szCs w:val="32"/>
        </w:rPr>
      </w:pPr>
      <w:bookmarkStart w:id="44" w:name="OLE_LINK69"/>
      <w:r>
        <w:rPr>
          <w:rFonts w:hint="eastAsia" w:ascii="仿宋_GB2312" w:eastAsia="仿宋_GB2312"/>
          <w:color w:val="000000" w:themeColor="text1"/>
          <w:sz w:val="32"/>
          <w:szCs w:val="32"/>
        </w:rPr>
        <w:t>2018年度</w:t>
      </w:r>
      <w:bookmarkStart w:id="45" w:name="OLE_LINK22"/>
      <w:r>
        <w:rPr>
          <w:rFonts w:hint="eastAsia" w:ascii="仿宋_GB2312" w:eastAsia="仿宋_GB2312"/>
          <w:color w:val="000000" w:themeColor="text1"/>
          <w:sz w:val="32"/>
          <w:szCs w:val="32"/>
        </w:rPr>
        <w:t>政府性基金预算财政拨款收入</w:t>
      </w:r>
      <w:bookmarkEnd w:id="45"/>
      <w:r>
        <w:rPr>
          <w:rFonts w:hint="eastAsia" w:ascii="仿宋_GB2312" w:eastAsia="仿宋_GB2312"/>
          <w:sz w:val="32"/>
          <w:szCs w:val="32"/>
        </w:rPr>
        <w:t>0</w:t>
      </w:r>
      <w:r>
        <w:rPr>
          <w:rFonts w:hint="eastAsia" w:ascii="仿宋_GB2312" w:eastAsia="仿宋_GB2312"/>
          <w:color w:val="000000" w:themeColor="text1"/>
          <w:sz w:val="32"/>
          <w:szCs w:val="32"/>
        </w:rPr>
        <w:t>万元</w:t>
      </w:r>
      <w:r>
        <w:rPr>
          <w:rFonts w:hint="eastAsia" w:ascii="仿宋_GB2312" w:eastAsia="仿宋_GB2312"/>
          <w:sz w:val="32"/>
          <w:szCs w:val="32"/>
        </w:rPr>
        <w:t>，与上年相比无变化，主要原因是：预算未安排，无政府性基金财政拨款收支情况。</w:t>
      </w:r>
      <w:bookmarkEnd w:id="44"/>
      <w:bookmarkStart w:id="46" w:name="OLE_LINK23"/>
      <w:bookmarkStart w:id="47" w:name="OLE_LINK70"/>
      <w:r>
        <w:rPr>
          <w:rFonts w:hint="eastAsia" w:ascii="仿宋_GB2312" w:eastAsia="仿宋_GB2312"/>
          <w:color w:val="000000" w:themeColor="text1"/>
          <w:sz w:val="32"/>
          <w:szCs w:val="32"/>
        </w:rPr>
        <w:t>政府性基金预算支出</w:t>
      </w:r>
      <w:bookmarkEnd w:id="46"/>
      <w:r>
        <w:rPr>
          <w:rFonts w:hint="eastAsia" w:ascii="仿宋_GB2312" w:eastAsia="仿宋_GB2312"/>
          <w:sz w:val="32"/>
          <w:szCs w:val="32"/>
        </w:rPr>
        <w:t>0</w:t>
      </w:r>
      <w:r>
        <w:rPr>
          <w:rFonts w:hint="eastAsia" w:ascii="仿宋_GB2312" w:eastAsia="仿宋_GB2312"/>
          <w:color w:val="000000" w:themeColor="text1"/>
          <w:sz w:val="32"/>
          <w:szCs w:val="32"/>
        </w:rPr>
        <w:t>万元</w:t>
      </w:r>
      <w:r>
        <w:rPr>
          <w:rFonts w:hint="eastAsia" w:ascii="仿宋_GB2312" w:eastAsia="仿宋_GB2312"/>
          <w:sz w:val="32"/>
          <w:szCs w:val="32"/>
        </w:rPr>
        <w:t>，与上年相比无变化，主要原因是：预算未安排，无政府性基金财政拨款收支情况。</w:t>
      </w:r>
      <w:bookmarkEnd w:id="47"/>
      <w:r>
        <w:rPr>
          <w:rFonts w:hint="eastAsia" w:ascii="仿宋_GB2312" w:eastAsia="仿宋_GB2312"/>
          <w:color w:val="000000" w:themeColor="text1"/>
          <w:sz w:val="32"/>
          <w:szCs w:val="32"/>
        </w:rPr>
        <w:t>其中：</w:t>
      </w:r>
      <w:bookmarkStart w:id="48" w:name="OLE_LINK24"/>
      <w:r>
        <w:rPr>
          <w:rFonts w:hint="eastAsia" w:ascii="仿宋_GB2312" w:eastAsia="仿宋_GB2312"/>
          <w:color w:val="000000" w:themeColor="text1"/>
          <w:sz w:val="32"/>
          <w:szCs w:val="32"/>
        </w:rPr>
        <w:t>按功能分类科目（按类级科目公开）</w:t>
      </w:r>
      <w:bookmarkEnd w:id="48"/>
      <w:r>
        <w:rPr>
          <w:rFonts w:hint="eastAsia" w:ascii="仿宋_GB2312" w:eastAsia="仿宋_GB2312"/>
          <w:color w:val="000000" w:themeColor="text1"/>
          <w:sz w:val="32"/>
          <w:szCs w:val="32"/>
        </w:rPr>
        <w:t>，无。按经济分类科目（按类级科目公开），无。</w:t>
      </w:r>
    </w:p>
    <w:p>
      <w:pPr>
        <w:spacing w:line="540" w:lineRule="exact"/>
        <w:ind w:firstLine="640" w:firstLineChars="200"/>
        <w:rPr>
          <w:rFonts w:ascii="仿宋_GB2312" w:eastAsia="仿宋_GB2312"/>
          <w:color w:val="000000" w:themeColor="text1"/>
          <w:sz w:val="32"/>
          <w:szCs w:val="32"/>
        </w:rPr>
      </w:pPr>
      <w:bookmarkStart w:id="49" w:name="OLE_LINK71"/>
      <w:bookmarkStart w:id="50" w:name="OLE_LINK72"/>
      <w:r>
        <w:rPr>
          <w:rFonts w:hint="eastAsia" w:ascii="仿宋_GB2312" w:eastAsia="仿宋_GB2312"/>
          <w:color w:val="000000" w:themeColor="text1"/>
          <w:sz w:val="32"/>
          <w:szCs w:val="32"/>
        </w:rPr>
        <w:t>与年初预算数相比情况：政府性基金预算财政拨款收入年初预算数0万元，决算数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，预决算差异率0%，差异主要原因是预算未安排，无政府性基金财政拨款收支情况。</w:t>
      </w:r>
      <w:bookmarkEnd w:id="49"/>
      <w:bookmarkEnd w:id="50"/>
      <w:bookmarkStart w:id="51" w:name="OLE_LINK73"/>
      <w:r>
        <w:rPr>
          <w:rFonts w:hint="eastAsia" w:ascii="仿宋_GB2312" w:eastAsia="仿宋_GB2312"/>
          <w:color w:val="000000" w:themeColor="text1"/>
          <w:sz w:val="32"/>
          <w:szCs w:val="32"/>
        </w:rPr>
        <w:t>政府性基金预算财政拨款支出年初预算数0万元，决算数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，预决算差异率0%，差异主要原因是预算未安排，无政府性基金财政拨款收支情况。</w:t>
      </w:r>
      <w:bookmarkEnd w:id="51"/>
    </w:p>
    <w:p>
      <w:pPr>
        <w:spacing w:line="540" w:lineRule="exact"/>
        <w:ind w:firstLine="640" w:firstLineChars="200"/>
        <w:rPr>
          <w:rFonts w:ascii="黑体" w:hAnsi="黑体" w:eastAsia="黑体"/>
          <w:color w:val="000000" w:themeColor="text1"/>
          <w:sz w:val="32"/>
          <w:szCs w:val="32"/>
        </w:rPr>
      </w:pPr>
      <w:r>
        <w:rPr>
          <w:rFonts w:hint="eastAsia" w:ascii="黑体" w:hAnsi="黑体" w:eastAsia="黑体"/>
          <w:color w:val="000000" w:themeColor="text1"/>
          <w:sz w:val="32"/>
          <w:szCs w:val="32"/>
        </w:rPr>
        <w:t>三、部门结转结余情况</w:t>
      </w:r>
    </w:p>
    <w:p>
      <w:pPr>
        <w:spacing w:line="540" w:lineRule="exact"/>
        <w:ind w:firstLine="640" w:firstLineChars="200"/>
        <w:rPr>
          <w:rFonts w:ascii="仿宋_GB2312" w:eastAsia="仿宋_GB2312"/>
          <w:color w:val="000000" w:themeColor="text1"/>
          <w:sz w:val="32"/>
          <w:szCs w:val="32"/>
        </w:rPr>
      </w:pPr>
      <w:bookmarkStart w:id="52" w:name="OLE_LINK25"/>
      <w:bookmarkStart w:id="53" w:name="OLE_LINK26"/>
      <w:r>
        <w:rPr>
          <w:rFonts w:hint="eastAsia" w:ascii="仿宋_GB2312" w:eastAsia="仿宋_GB2312"/>
          <w:color w:val="000000" w:themeColor="text1"/>
          <w:sz w:val="32"/>
          <w:szCs w:val="32"/>
        </w:rPr>
        <w:t>年末结转结余</w:t>
      </w:r>
      <w:bookmarkEnd w:id="52"/>
      <w:bookmarkEnd w:id="53"/>
      <w:r>
        <w:rPr>
          <w:rFonts w:hint="eastAsia" w:ascii="仿宋_GB2312" w:eastAsia="仿宋_GB2312"/>
          <w:sz w:val="32"/>
          <w:szCs w:val="32"/>
        </w:rPr>
        <w:t>0</w:t>
      </w:r>
      <w:r>
        <w:rPr>
          <w:rFonts w:hint="eastAsia" w:ascii="仿宋_GB2312" w:eastAsia="仿宋_GB2312"/>
          <w:color w:val="000000" w:themeColor="text1"/>
          <w:sz w:val="32"/>
          <w:szCs w:val="32"/>
        </w:rPr>
        <w:t>万元</w:t>
      </w:r>
      <w:r>
        <w:rPr>
          <w:rFonts w:hint="eastAsia" w:ascii="仿宋_GB2312" w:eastAsia="仿宋_GB2312"/>
          <w:sz w:val="32"/>
          <w:szCs w:val="32"/>
        </w:rPr>
        <w:t>。与上年相比，无变化</w:t>
      </w:r>
      <w:r>
        <w:rPr>
          <w:rFonts w:hint="eastAsia" w:ascii="仿宋_GB2312" w:eastAsia="仿宋_GB2312"/>
          <w:color w:val="000000" w:themeColor="text1"/>
          <w:sz w:val="32"/>
          <w:szCs w:val="32"/>
        </w:rPr>
        <w:t>。</w:t>
      </w:r>
    </w:p>
    <w:p>
      <w:pPr>
        <w:spacing w:line="540" w:lineRule="exact"/>
        <w:ind w:firstLine="640" w:firstLineChars="200"/>
        <w:rPr>
          <w:rFonts w:ascii="仿宋_GB2312" w:eastAsia="仿宋_GB2312"/>
          <w:sz w:val="32"/>
          <w:szCs w:val="32"/>
        </w:rPr>
      </w:pPr>
      <w:r>
        <w:rPr>
          <w:rFonts w:hint="eastAsia" w:ascii="仿宋_GB2312" w:eastAsia="仿宋_GB2312"/>
          <w:color w:val="000000" w:themeColor="text1"/>
          <w:sz w:val="32"/>
          <w:szCs w:val="32"/>
        </w:rPr>
        <w:t>其中</w:t>
      </w:r>
      <w:bookmarkStart w:id="54" w:name="OLE_LINK28"/>
      <w:bookmarkStart w:id="55" w:name="OLE_LINK27"/>
      <w:r>
        <w:rPr>
          <w:rFonts w:hint="eastAsia" w:ascii="仿宋_GB2312" w:eastAsia="仿宋_GB2312"/>
          <w:color w:val="000000" w:themeColor="text1"/>
          <w:sz w:val="32"/>
          <w:szCs w:val="32"/>
        </w:rPr>
        <w:t>财政拨款结转结余</w:t>
      </w:r>
      <w:bookmarkEnd w:id="54"/>
      <w:bookmarkEnd w:id="55"/>
      <w:r>
        <w:rPr>
          <w:rFonts w:hint="eastAsia" w:ascii="仿宋_GB2312" w:eastAsia="仿宋_GB2312"/>
          <w:sz w:val="32"/>
          <w:szCs w:val="32"/>
        </w:rPr>
        <w:t>0</w:t>
      </w:r>
      <w:r>
        <w:rPr>
          <w:rFonts w:hint="eastAsia" w:ascii="仿宋_GB2312" w:eastAsia="仿宋_GB2312"/>
          <w:color w:val="000000" w:themeColor="text1"/>
          <w:sz w:val="32"/>
          <w:szCs w:val="32"/>
        </w:rPr>
        <w:t>万元</w:t>
      </w:r>
      <w:r>
        <w:rPr>
          <w:rFonts w:hint="eastAsia" w:ascii="仿宋_GB2312" w:eastAsia="仿宋_GB2312"/>
          <w:sz w:val="32"/>
          <w:szCs w:val="32"/>
        </w:rPr>
        <w:t>。与上年相比，无变化。</w:t>
      </w:r>
    </w:p>
    <w:p>
      <w:pPr>
        <w:spacing w:line="540" w:lineRule="exact"/>
        <w:ind w:firstLine="640" w:firstLineChars="200"/>
        <w:rPr>
          <w:rFonts w:ascii="黑体" w:hAnsi="黑体" w:eastAsia="黑体"/>
          <w:sz w:val="32"/>
          <w:szCs w:val="32"/>
        </w:rPr>
      </w:pPr>
      <w:r>
        <w:rPr>
          <w:rFonts w:hint="eastAsia" w:ascii="黑体" w:hAnsi="黑体" w:eastAsia="黑体"/>
          <w:sz w:val="32"/>
          <w:szCs w:val="32"/>
        </w:rPr>
        <w:t>四、一般公共预算“三公”经费支出情况</w:t>
      </w:r>
    </w:p>
    <w:p>
      <w:pPr>
        <w:spacing w:line="540" w:lineRule="exact"/>
        <w:ind w:firstLine="640" w:firstLineChars="200"/>
        <w:rPr>
          <w:rFonts w:hint="eastAsia" w:ascii="仿宋_GB2312" w:eastAsia="仿宋_GB2312"/>
          <w:sz w:val="32"/>
          <w:szCs w:val="32"/>
        </w:rPr>
      </w:pPr>
      <w:r>
        <w:rPr>
          <w:rFonts w:hint="eastAsia" w:ascii="仿宋_GB2312" w:eastAsia="仿宋_GB2312"/>
          <w:sz w:val="32"/>
          <w:szCs w:val="32"/>
          <w:lang w:val="en-US" w:eastAsia="zh-CN"/>
        </w:rPr>
        <w:t>2018</w:t>
      </w:r>
      <w:r>
        <w:rPr>
          <w:rFonts w:hint="eastAsia" w:ascii="仿宋_GB2312" w:eastAsia="仿宋_GB2312"/>
          <w:sz w:val="32"/>
          <w:szCs w:val="32"/>
        </w:rPr>
        <w:t>年度一般公共预算“三公”经费支出决算</w:t>
      </w:r>
      <w:r>
        <w:rPr>
          <w:rFonts w:hint="eastAsia" w:ascii="仿宋_GB2312" w:eastAsia="仿宋_GB2312"/>
          <w:sz w:val="32"/>
          <w:szCs w:val="32"/>
          <w:lang w:val="en-US" w:eastAsia="zh-CN"/>
        </w:rPr>
        <w:t>2.1</w:t>
      </w:r>
      <w:r>
        <w:rPr>
          <w:rFonts w:hint="eastAsia" w:ascii="仿宋_GB2312" w:eastAsia="仿宋_GB2312"/>
          <w:sz w:val="32"/>
          <w:szCs w:val="32"/>
        </w:rPr>
        <w:t>万元，比上年增加</w:t>
      </w:r>
      <w:r>
        <w:rPr>
          <w:rFonts w:hint="eastAsia" w:ascii="仿宋_GB2312" w:eastAsia="仿宋_GB2312"/>
          <w:sz w:val="32"/>
          <w:szCs w:val="32"/>
          <w:lang w:val="en-US" w:eastAsia="zh-CN"/>
        </w:rPr>
        <w:t>0</w:t>
      </w:r>
      <w:r>
        <w:rPr>
          <w:rFonts w:hint="eastAsia" w:ascii="仿宋_GB2312" w:eastAsia="仿宋_GB2312"/>
          <w:sz w:val="32"/>
          <w:szCs w:val="32"/>
        </w:rPr>
        <w:t>万元，增长</w:t>
      </w:r>
      <w:r>
        <w:rPr>
          <w:rFonts w:hint="eastAsia" w:ascii="仿宋_GB2312" w:eastAsia="仿宋_GB2312"/>
          <w:sz w:val="32"/>
          <w:szCs w:val="32"/>
          <w:lang w:val="en-US" w:eastAsia="zh-CN"/>
        </w:rPr>
        <w:t>0</w:t>
      </w:r>
      <w:r>
        <w:rPr>
          <w:rFonts w:hint="eastAsia" w:ascii="仿宋_GB2312" w:eastAsia="仿宋_GB2312"/>
          <w:sz w:val="32"/>
          <w:szCs w:val="32"/>
        </w:rPr>
        <w:t>%，增加原因是严格执行“三公”经费只减不增的要求。其中，因公出国（境）费支出</w:t>
      </w:r>
      <w:r>
        <w:rPr>
          <w:rFonts w:hint="eastAsia" w:ascii="仿宋_GB2312" w:eastAsia="仿宋_GB2312"/>
          <w:sz w:val="32"/>
          <w:szCs w:val="32"/>
          <w:lang w:val="en-US" w:eastAsia="zh-CN"/>
        </w:rPr>
        <w:t>0</w:t>
      </w:r>
      <w:r>
        <w:rPr>
          <w:rFonts w:hint="eastAsia" w:ascii="仿宋_GB2312" w:eastAsia="仿宋_GB2312"/>
          <w:sz w:val="32"/>
          <w:szCs w:val="32"/>
        </w:rPr>
        <w:t>万元，占</w:t>
      </w:r>
      <w:r>
        <w:rPr>
          <w:rFonts w:hint="eastAsia" w:ascii="仿宋_GB2312" w:eastAsia="仿宋_GB2312"/>
          <w:sz w:val="32"/>
          <w:szCs w:val="32"/>
          <w:lang w:val="en-US" w:eastAsia="zh-CN"/>
        </w:rPr>
        <w:t>0</w:t>
      </w:r>
      <w:r>
        <w:rPr>
          <w:rFonts w:hint="eastAsia" w:ascii="仿宋_GB2312" w:eastAsia="仿宋_GB2312"/>
          <w:sz w:val="32"/>
          <w:szCs w:val="32"/>
        </w:rPr>
        <w:t>%，比上年增加</w:t>
      </w:r>
      <w:r>
        <w:rPr>
          <w:rFonts w:hint="eastAsia" w:ascii="仿宋_GB2312" w:eastAsia="仿宋_GB2312"/>
          <w:sz w:val="32"/>
          <w:szCs w:val="32"/>
          <w:lang w:val="en-US" w:eastAsia="zh-CN"/>
        </w:rPr>
        <w:t>0</w:t>
      </w:r>
      <w:r>
        <w:rPr>
          <w:rFonts w:hint="eastAsia" w:ascii="仿宋_GB2312" w:eastAsia="仿宋_GB2312"/>
          <w:sz w:val="32"/>
          <w:szCs w:val="32"/>
        </w:rPr>
        <w:t>万元，增长</w:t>
      </w:r>
      <w:r>
        <w:rPr>
          <w:rFonts w:hint="eastAsia" w:ascii="仿宋_GB2312" w:eastAsia="仿宋_GB2312"/>
          <w:sz w:val="32"/>
          <w:szCs w:val="32"/>
          <w:lang w:val="en-US" w:eastAsia="zh-CN"/>
        </w:rPr>
        <w:t>0</w:t>
      </w:r>
      <w:r>
        <w:rPr>
          <w:rFonts w:hint="eastAsia" w:ascii="仿宋_GB2312" w:eastAsia="仿宋_GB2312"/>
          <w:sz w:val="32"/>
          <w:szCs w:val="32"/>
        </w:rPr>
        <w:t>%，增加原因是本单位无此项预算安安排，无此项经费支出；公务用车购置及运行维护费支出</w:t>
      </w:r>
      <w:r>
        <w:rPr>
          <w:rFonts w:hint="eastAsia" w:ascii="仿宋_GB2312" w:eastAsia="仿宋_GB2312"/>
          <w:sz w:val="32"/>
          <w:szCs w:val="32"/>
          <w:lang w:val="en-US" w:eastAsia="zh-CN"/>
        </w:rPr>
        <w:t>2.1</w:t>
      </w:r>
      <w:r>
        <w:rPr>
          <w:rFonts w:hint="eastAsia" w:ascii="仿宋_GB2312" w:eastAsia="仿宋_GB2312"/>
          <w:sz w:val="32"/>
          <w:szCs w:val="32"/>
        </w:rPr>
        <w:t>万元，占100%，比上年增加</w:t>
      </w:r>
      <w:r>
        <w:rPr>
          <w:rFonts w:hint="eastAsia" w:ascii="仿宋_GB2312" w:eastAsia="仿宋_GB2312"/>
          <w:sz w:val="32"/>
          <w:szCs w:val="32"/>
          <w:lang w:val="en-US" w:eastAsia="zh-CN"/>
        </w:rPr>
        <w:t>0</w:t>
      </w:r>
      <w:r>
        <w:rPr>
          <w:rFonts w:hint="eastAsia" w:ascii="仿宋_GB2312" w:eastAsia="仿宋_GB2312"/>
          <w:sz w:val="32"/>
          <w:szCs w:val="32"/>
        </w:rPr>
        <w:t>万元，增长</w:t>
      </w:r>
      <w:r>
        <w:rPr>
          <w:rFonts w:hint="eastAsia" w:ascii="仿宋_GB2312" w:eastAsia="仿宋_GB2312"/>
          <w:sz w:val="32"/>
          <w:szCs w:val="32"/>
          <w:lang w:val="en-US" w:eastAsia="zh-CN"/>
        </w:rPr>
        <w:t>0</w:t>
      </w:r>
      <w:r>
        <w:rPr>
          <w:rFonts w:hint="eastAsia" w:ascii="仿宋_GB2312" w:eastAsia="仿宋_GB2312"/>
          <w:sz w:val="32"/>
          <w:szCs w:val="32"/>
        </w:rPr>
        <w:t>%，增加原因是严格执行“三公”经费只减不增的要求；公务接待费支出</w:t>
      </w:r>
      <w:r>
        <w:rPr>
          <w:rFonts w:hint="eastAsia" w:ascii="仿宋_GB2312" w:eastAsia="仿宋_GB2312"/>
          <w:sz w:val="32"/>
          <w:szCs w:val="32"/>
          <w:lang w:val="en-US" w:eastAsia="zh-CN"/>
        </w:rPr>
        <w:t>0</w:t>
      </w:r>
      <w:r>
        <w:rPr>
          <w:rFonts w:hint="eastAsia" w:ascii="仿宋_GB2312" w:eastAsia="仿宋_GB2312"/>
          <w:sz w:val="32"/>
          <w:szCs w:val="32"/>
        </w:rPr>
        <w:t>万元，占</w:t>
      </w:r>
      <w:r>
        <w:rPr>
          <w:rFonts w:hint="eastAsia" w:ascii="仿宋_GB2312" w:eastAsia="仿宋_GB2312"/>
          <w:sz w:val="32"/>
          <w:szCs w:val="32"/>
          <w:lang w:val="en-US" w:eastAsia="zh-CN"/>
        </w:rPr>
        <w:t>0</w:t>
      </w:r>
      <w:r>
        <w:rPr>
          <w:rFonts w:hint="eastAsia" w:ascii="仿宋_GB2312" w:eastAsia="仿宋_GB2312"/>
          <w:sz w:val="32"/>
          <w:szCs w:val="32"/>
        </w:rPr>
        <w:t>%，比上年增加</w:t>
      </w:r>
      <w:r>
        <w:rPr>
          <w:rFonts w:hint="eastAsia" w:ascii="仿宋_GB2312" w:eastAsia="仿宋_GB2312"/>
          <w:sz w:val="32"/>
          <w:szCs w:val="32"/>
          <w:lang w:val="en-US" w:eastAsia="zh-CN"/>
        </w:rPr>
        <w:t>0</w:t>
      </w:r>
      <w:r>
        <w:rPr>
          <w:rFonts w:hint="eastAsia" w:ascii="仿宋_GB2312" w:eastAsia="仿宋_GB2312"/>
          <w:sz w:val="32"/>
          <w:szCs w:val="32"/>
        </w:rPr>
        <w:t>万元，增长</w:t>
      </w:r>
      <w:r>
        <w:rPr>
          <w:rFonts w:hint="eastAsia" w:ascii="仿宋_GB2312" w:eastAsia="仿宋_GB2312"/>
          <w:sz w:val="32"/>
          <w:szCs w:val="32"/>
          <w:lang w:val="en-US" w:eastAsia="zh-CN"/>
        </w:rPr>
        <w:t>0</w:t>
      </w:r>
      <w:r>
        <w:rPr>
          <w:rFonts w:hint="eastAsia" w:ascii="仿宋_GB2312" w:eastAsia="仿宋_GB2312"/>
          <w:sz w:val="32"/>
          <w:szCs w:val="32"/>
        </w:rPr>
        <w:t>%，增加原因是本单位无此项预算安安排，无此项经费支出。具体情况如下：</w:t>
      </w:r>
    </w:p>
    <w:p>
      <w:pPr>
        <w:spacing w:line="540" w:lineRule="exact"/>
        <w:ind w:firstLine="640" w:firstLineChars="200"/>
        <w:rPr>
          <w:rFonts w:hint="eastAsia" w:ascii="仿宋_GB2312" w:eastAsia="仿宋_GB2312"/>
          <w:sz w:val="32"/>
          <w:szCs w:val="32"/>
        </w:rPr>
      </w:pPr>
      <w:r>
        <w:rPr>
          <w:rFonts w:hint="eastAsia" w:ascii="仿宋_GB2312" w:eastAsia="仿宋_GB2312"/>
          <w:sz w:val="32"/>
          <w:szCs w:val="32"/>
        </w:rPr>
        <w:t>因公出国（境）费支出</w:t>
      </w:r>
      <w:r>
        <w:rPr>
          <w:rFonts w:hint="eastAsia" w:ascii="仿宋_GB2312" w:eastAsia="仿宋_GB2312"/>
          <w:sz w:val="32"/>
          <w:szCs w:val="32"/>
          <w:lang w:val="en-US" w:eastAsia="zh-CN"/>
        </w:rPr>
        <w:t>0</w:t>
      </w:r>
      <w:r>
        <w:rPr>
          <w:rFonts w:hint="eastAsia" w:ascii="仿宋_GB2312" w:eastAsia="仿宋_GB2312"/>
          <w:sz w:val="32"/>
          <w:szCs w:val="32"/>
        </w:rPr>
        <w:t>万元。</w:t>
      </w:r>
      <w:r>
        <w:rPr>
          <w:rFonts w:hint="eastAsia" w:ascii="仿宋_GB2312" w:eastAsia="仿宋_GB2312"/>
          <w:sz w:val="32"/>
          <w:szCs w:val="32"/>
          <w:lang w:eastAsia="zh-CN"/>
        </w:rPr>
        <w:t>新疆喀什地区</w:t>
      </w:r>
      <w:r>
        <w:rPr>
          <w:rFonts w:hint="eastAsia" w:ascii="仿宋_GB2312" w:eastAsia="仿宋_GB2312"/>
          <w:sz w:val="32"/>
          <w:szCs w:val="32"/>
        </w:rPr>
        <w:t>英吉沙县安全生产监督管理局全年使用一般公共预算财政拨款安排的出国（境）团组</w:t>
      </w:r>
      <w:r>
        <w:rPr>
          <w:rFonts w:hint="eastAsia" w:ascii="仿宋_GB2312" w:eastAsia="仿宋_GB2312"/>
          <w:sz w:val="32"/>
          <w:szCs w:val="32"/>
          <w:lang w:val="en-US" w:eastAsia="zh-CN"/>
        </w:rPr>
        <w:t>0</w:t>
      </w:r>
      <w:r>
        <w:rPr>
          <w:rFonts w:hint="eastAsia" w:ascii="仿宋_GB2312" w:eastAsia="仿宋_GB2312"/>
          <w:sz w:val="32"/>
          <w:szCs w:val="32"/>
        </w:rPr>
        <w:t>个，累计</w:t>
      </w:r>
      <w:r>
        <w:rPr>
          <w:rFonts w:hint="eastAsia" w:ascii="仿宋_GB2312" w:eastAsia="仿宋_GB2312"/>
          <w:sz w:val="32"/>
          <w:szCs w:val="32"/>
          <w:lang w:val="en-US" w:eastAsia="zh-CN"/>
        </w:rPr>
        <w:t>0</w:t>
      </w:r>
      <w:r>
        <w:rPr>
          <w:rFonts w:hint="eastAsia" w:ascii="仿宋_GB2312" w:eastAsia="仿宋_GB2312"/>
          <w:sz w:val="32"/>
          <w:szCs w:val="32"/>
        </w:rPr>
        <w:t>人次。开支内容包括：</w:t>
      </w:r>
      <w:r>
        <w:rPr>
          <w:rFonts w:ascii="仿宋_GB2312" w:eastAsia="仿宋_GB2312"/>
          <w:color w:val="000000" w:themeColor="text1"/>
          <w:sz w:val="32"/>
          <w:szCs w:val="32"/>
        </w:rPr>
        <w:t>本单位无此项预算安安排，无此项经费支出</w:t>
      </w:r>
      <w:r>
        <w:rPr>
          <w:rFonts w:hint="eastAsia" w:ascii="仿宋_GB2312" w:eastAsia="仿宋_GB2312"/>
          <w:sz w:val="32"/>
          <w:szCs w:val="32"/>
        </w:rPr>
        <w:t>。</w:t>
      </w:r>
    </w:p>
    <w:p>
      <w:pPr>
        <w:spacing w:line="540" w:lineRule="exact"/>
        <w:ind w:firstLine="640" w:firstLineChars="200"/>
        <w:rPr>
          <w:rFonts w:hint="eastAsia" w:ascii="仿宋_GB2312" w:eastAsia="仿宋_GB2312"/>
          <w:sz w:val="32"/>
          <w:szCs w:val="32"/>
        </w:rPr>
      </w:pPr>
      <w:r>
        <w:rPr>
          <w:rFonts w:hint="eastAsia" w:ascii="仿宋_GB2312" w:eastAsia="仿宋_GB2312"/>
          <w:sz w:val="32"/>
          <w:szCs w:val="32"/>
        </w:rPr>
        <w:t>公务用车购置及运行维护费</w:t>
      </w:r>
      <w:r>
        <w:rPr>
          <w:rFonts w:hint="eastAsia" w:ascii="仿宋_GB2312" w:eastAsia="仿宋_GB2312"/>
          <w:sz w:val="32"/>
          <w:szCs w:val="32"/>
          <w:lang w:val="en-US" w:eastAsia="zh-CN"/>
        </w:rPr>
        <w:t>2.1</w:t>
      </w:r>
      <w:r>
        <w:rPr>
          <w:rFonts w:hint="eastAsia" w:ascii="仿宋_GB2312" w:eastAsia="仿宋_GB2312"/>
          <w:sz w:val="32"/>
          <w:szCs w:val="32"/>
        </w:rPr>
        <w:t>万元,其中，公务用车购置</w:t>
      </w:r>
      <w:r>
        <w:rPr>
          <w:rFonts w:hint="eastAsia" w:ascii="仿宋_GB2312" w:eastAsia="仿宋_GB2312"/>
          <w:sz w:val="32"/>
          <w:szCs w:val="32"/>
          <w:lang w:val="en-US" w:eastAsia="zh-CN"/>
        </w:rPr>
        <w:t>2.1</w:t>
      </w:r>
      <w:r>
        <w:rPr>
          <w:rFonts w:hint="eastAsia" w:ascii="仿宋_GB2312" w:eastAsia="仿宋_GB2312"/>
          <w:sz w:val="32"/>
          <w:szCs w:val="32"/>
        </w:rPr>
        <w:t>万元，公务用车运行维护费</w:t>
      </w:r>
      <w:r>
        <w:rPr>
          <w:rFonts w:hint="eastAsia" w:ascii="仿宋_GB2312" w:eastAsia="仿宋_GB2312"/>
          <w:sz w:val="32"/>
          <w:szCs w:val="32"/>
          <w:lang w:val="en-US" w:eastAsia="zh-CN"/>
        </w:rPr>
        <w:t>2.1</w:t>
      </w:r>
      <w:r>
        <w:rPr>
          <w:rFonts w:hint="eastAsia" w:ascii="仿宋_GB2312" w:eastAsia="仿宋_GB2312"/>
          <w:sz w:val="32"/>
          <w:szCs w:val="32"/>
        </w:rPr>
        <w:t>万元。主要用于</w:t>
      </w:r>
      <w:r>
        <w:rPr>
          <w:rFonts w:hint="eastAsia" w:ascii="仿宋_GB2312" w:eastAsia="仿宋_GB2312"/>
          <w:color w:val="auto"/>
          <w:sz w:val="32"/>
          <w:szCs w:val="32"/>
        </w:rPr>
        <w:t>车辆保险费、维修费、加油费、过路费</w:t>
      </w:r>
      <w:r>
        <w:rPr>
          <w:rFonts w:hint="eastAsia" w:ascii="仿宋_GB2312" w:eastAsia="仿宋_GB2312"/>
          <w:sz w:val="32"/>
          <w:szCs w:val="32"/>
        </w:rPr>
        <w:t>等。单位一般公共财政拨款安排的公务用车购置量</w:t>
      </w:r>
      <w:r>
        <w:rPr>
          <w:rFonts w:hint="eastAsia" w:ascii="仿宋_GB2312" w:eastAsia="仿宋_GB2312"/>
          <w:sz w:val="32"/>
          <w:szCs w:val="32"/>
          <w:lang w:val="en-US" w:eastAsia="zh-CN"/>
        </w:rPr>
        <w:t>0</w:t>
      </w:r>
      <w:r>
        <w:rPr>
          <w:rFonts w:hint="eastAsia" w:ascii="仿宋_GB2312" w:eastAsia="仿宋_GB2312"/>
          <w:sz w:val="32"/>
          <w:szCs w:val="32"/>
        </w:rPr>
        <w:t>辆，保有量为</w:t>
      </w:r>
      <w:r>
        <w:rPr>
          <w:rFonts w:hint="eastAsia" w:ascii="仿宋_GB2312" w:eastAsia="仿宋_GB2312"/>
          <w:sz w:val="32"/>
          <w:szCs w:val="32"/>
          <w:lang w:val="en-US" w:eastAsia="zh-CN"/>
        </w:rPr>
        <w:t>1</w:t>
      </w:r>
      <w:r>
        <w:rPr>
          <w:rFonts w:hint="eastAsia" w:ascii="仿宋_GB2312" w:eastAsia="仿宋_GB2312"/>
          <w:sz w:val="32"/>
          <w:szCs w:val="32"/>
        </w:rPr>
        <w:t>辆。</w:t>
      </w:r>
    </w:p>
    <w:p>
      <w:pPr>
        <w:spacing w:line="540" w:lineRule="exact"/>
        <w:ind w:firstLine="640" w:firstLineChars="200"/>
        <w:rPr>
          <w:rFonts w:hint="eastAsia" w:ascii="仿宋_GB2312" w:eastAsia="仿宋_GB2312"/>
          <w:sz w:val="32"/>
          <w:szCs w:val="32"/>
        </w:rPr>
      </w:pPr>
      <w:r>
        <w:rPr>
          <w:rFonts w:hint="eastAsia" w:ascii="仿宋_GB2312" w:eastAsia="仿宋_GB2312"/>
          <w:sz w:val="32"/>
          <w:szCs w:val="32"/>
        </w:rPr>
        <w:t>公务接待费</w:t>
      </w:r>
      <w:r>
        <w:rPr>
          <w:rFonts w:hint="eastAsia" w:ascii="仿宋_GB2312" w:eastAsia="仿宋_GB2312"/>
          <w:sz w:val="32"/>
          <w:szCs w:val="32"/>
          <w:lang w:val="en-US" w:eastAsia="zh-CN"/>
        </w:rPr>
        <w:t>0</w:t>
      </w:r>
      <w:r>
        <w:rPr>
          <w:rFonts w:hint="eastAsia" w:ascii="仿宋_GB2312" w:eastAsia="仿宋_GB2312"/>
          <w:sz w:val="32"/>
          <w:szCs w:val="32"/>
        </w:rPr>
        <w:t>万元。具体是：国内公务接待支出</w:t>
      </w:r>
      <w:r>
        <w:rPr>
          <w:rFonts w:hint="eastAsia" w:ascii="仿宋_GB2312" w:eastAsia="仿宋_GB2312"/>
          <w:sz w:val="32"/>
          <w:szCs w:val="32"/>
          <w:lang w:val="en-US" w:eastAsia="zh-CN"/>
        </w:rPr>
        <w:t>0</w:t>
      </w:r>
      <w:r>
        <w:rPr>
          <w:rFonts w:hint="eastAsia" w:ascii="仿宋_GB2312" w:eastAsia="仿宋_GB2312"/>
          <w:sz w:val="32"/>
          <w:szCs w:val="32"/>
        </w:rPr>
        <w:t>万元，主要是无此项经费支出。新疆喀什地区英吉沙县安全生产监督管理局国内公务接待</w:t>
      </w:r>
      <w:r>
        <w:rPr>
          <w:rFonts w:hint="eastAsia" w:ascii="仿宋_GB2312" w:eastAsia="仿宋_GB2312"/>
          <w:sz w:val="32"/>
          <w:szCs w:val="32"/>
          <w:lang w:val="en-US" w:eastAsia="zh-CN"/>
        </w:rPr>
        <w:t>0</w:t>
      </w:r>
      <w:r>
        <w:rPr>
          <w:rFonts w:hint="eastAsia" w:ascii="仿宋_GB2312" w:eastAsia="仿宋_GB2312"/>
          <w:sz w:val="32"/>
          <w:szCs w:val="32"/>
        </w:rPr>
        <w:t>批次，</w:t>
      </w:r>
      <w:r>
        <w:rPr>
          <w:rFonts w:hint="eastAsia" w:ascii="仿宋_GB2312" w:eastAsia="仿宋_GB2312"/>
          <w:sz w:val="32"/>
          <w:szCs w:val="32"/>
          <w:lang w:val="en-US" w:eastAsia="zh-CN"/>
        </w:rPr>
        <w:t>0</w:t>
      </w:r>
      <w:r>
        <w:rPr>
          <w:rFonts w:hint="eastAsia" w:ascii="仿宋_GB2312" w:eastAsia="仿宋_GB2312"/>
          <w:sz w:val="32"/>
          <w:szCs w:val="32"/>
        </w:rPr>
        <w:t>人次。</w:t>
      </w:r>
    </w:p>
    <w:p>
      <w:pPr>
        <w:widowControl w:val="0"/>
        <w:spacing w:line="540" w:lineRule="exact"/>
        <w:ind w:firstLine="640" w:firstLineChars="200"/>
        <w:jc w:val="both"/>
        <w:rPr>
          <w:rFonts w:ascii="仿宋_GB2312" w:hAnsi="宋体" w:eastAsia="仿宋_GB2312" w:cs="宋体"/>
          <w:kern w:val="0"/>
          <w:sz w:val="32"/>
          <w:szCs w:val="32"/>
        </w:rPr>
      </w:pPr>
      <w:r>
        <w:rPr>
          <w:rFonts w:hint="eastAsia" w:ascii="仿宋_GB2312" w:eastAsia="仿宋_GB2312"/>
          <w:sz w:val="32"/>
          <w:szCs w:val="32"/>
        </w:rPr>
        <w:t>与年初预算数相比情况：一般公共预算“三公”经费支出年初预算数</w:t>
      </w:r>
      <w:r>
        <w:rPr>
          <w:rFonts w:hint="eastAsia" w:ascii="仿宋_GB2312" w:eastAsia="仿宋_GB2312"/>
          <w:sz w:val="32"/>
          <w:szCs w:val="32"/>
          <w:lang w:val="en-US" w:eastAsia="zh-CN"/>
        </w:rPr>
        <w:t>2.25</w:t>
      </w:r>
      <w:r>
        <w:rPr>
          <w:rFonts w:hint="eastAsia" w:ascii="仿宋_GB2312" w:eastAsia="仿宋_GB2312"/>
          <w:sz w:val="32"/>
          <w:szCs w:val="32"/>
        </w:rPr>
        <w:t>万元，决算数</w:t>
      </w:r>
      <w:r>
        <w:rPr>
          <w:rFonts w:hint="eastAsia" w:ascii="仿宋_GB2312" w:eastAsia="仿宋_GB2312"/>
          <w:sz w:val="32"/>
          <w:szCs w:val="32"/>
          <w:lang w:val="en-US" w:eastAsia="zh-CN"/>
        </w:rPr>
        <w:t>2.1</w:t>
      </w:r>
      <w:r>
        <w:rPr>
          <w:rFonts w:hint="eastAsia" w:ascii="仿宋_GB2312" w:eastAsia="仿宋_GB2312"/>
          <w:sz w:val="32"/>
          <w:szCs w:val="32"/>
        </w:rPr>
        <w:t>万元，预决算差异率</w:t>
      </w:r>
      <w:r>
        <w:rPr>
          <w:rFonts w:ascii="仿宋_GB2312" w:eastAsia="仿宋_GB2312"/>
          <w:color w:val="000000" w:themeColor="text1"/>
          <w:sz w:val="32"/>
          <w:szCs w:val="32"/>
        </w:rPr>
        <w:t>-6.67</w:t>
      </w:r>
      <w:r>
        <w:rPr>
          <w:rFonts w:hint="eastAsia" w:ascii="仿宋_GB2312" w:eastAsia="仿宋_GB2312"/>
          <w:sz w:val="32"/>
          <w:szCs w:val="32"/>
        </w:rPr>
        <w:t>%，差异主要原因</w:t>
      </w:r>
      <w:r>
        <w:rPr>
          <w:rFonts w:ascii="仿宋_GB2312" w:eastAsia="仿宋_GB2312"/>
          <w:color w:val="000000" w:themeColor="text1"/>
          <w:sz w:val="32"/>
          <w:szCs w:val="32"/>
        </w:rPr>
        <w:t>严格执行“三公”经费只减不增的要求</w:t>
      </w:r>
      <w:r>
        <w:rPr>
          <w:rFonts w:hint="eastAsia" w:ascii="仿宋_GB2312" w:eastAsia="仿宋_GB2312"/>
          <w:sz w:val="32"/>
          <w:szCs w:val="32"/>
        </w:rPr>
        <w:t>。</w:t>
      </w:r>
      <w:r>
        <w:rPr>
          <w:rFonts w:hint="eastAsia" w:ascii="仿宋_GB2312" w:hAnsi="宋体" w:eastAsia="仿宋_GB2312" w:cs="宋体"/>
          <w:kern w:val="0"/>
          <w:sz w:val="32"/>
          <w:szCs w:val="32"/>
        </w:rPr>
        <w:t>其中：因公出国（境）费</w:t>
      </w:r>
      <w:r>
        <w:rPr>
          <w:rFonts w:hint="eastAsia" w:ascii="仿宋_GB2312" w:eastAsia="仿宋_GB2312"/>
          <w:sz w:val="32"/>
          <w:szCs w:val="32"/>
        </w:rPr>
        <w:t>预算数</w:t>
      </w:r>
      <w:r>
        <w:rPr>
          <w:rFonts w:hint="eastAsia" w:ascii="仿宋_GB2312" w:eastAsia="仿宋_GB2312"/>
          <w:sz w:val="32"/>
          <w:szCs w:val="32"/>
          <w:lang w:val="en-US" w:eastAsia="zh-CN"/>
        </w:rPr>
        <w:t>0</w:t>
      </w:r>
      <w:r>
        <w:rPr>
          <w:rFonts w:hint="eastAsia" w:ascii="仿宋_GB2312" w:eastAsia="仿宋_GB2312"/>
          <w:sz w:val="32"/>
          <w:szCs w:val="32"/>
        </w:rPr>
        <w:t>万元，决算数</w:t>
      </w:r>
      <w:r>
        <w:rPr>
          <w:rFonts w:hint="eastAsia" w:ascii="仿宋_GB2312" w:eastAsia="仿宋_GB2312"/>
          <w:sz w:val="32"/>
          <w:szCs w:val="32"/>
          <w:lang w:val="en-US" w:eastAsia="zh-CN"/>
        </w:rPr>
        <w:t>0</w:t>
      </w:r>
      <w:r>
        <w:rPr>
          <w:rFonts w:hint="eastAsia" w:ascii="仿宋_GB2312" w:eastAsia="仿宋_GB2312"/>
          <w:sz w:val="32"/>
          <w:szCs w:val="32"/>
        </w:rPr>
        <w:t>万元，预决算差异率</w:t>
      </w:r>
      <w:r>
        <w:rPr>
          <w:rFonts w:hint="eastAsia" w:ascii="仿宋_GB2312" w:eastAsia="仿宋_GB2312"/>
          <w:sz w:val="32"/>
          <w:szCs w:val="32"/>
          <w:lang w:val="en-US" w:eastAsia="zh-CN"/>
        </w:rPr>
        <w:t>0</w:t>
      </w:r>
      <w:r>
        <w:rPr>
          <w:rFonts w:hint="eastAsia" w:ascii="仿宋_GB2312" w:eastAsia="仿宋_GB2312"/>
          <w:sz w:val="32"/>
          <w:szCs w:val="32"/>
        </w:rPr>
        <w:t>%，差异主要原因</w:t>
      </w:r>
      <w:r>
        <w:rPr>
          <w:rFonts w:ascii="仿宋_GB2312" w:eastAsia="仿宋_GB2312"/>
          <w:color w:val="000000" w:themeColor="text1"/>
          <w:sz w:val="32"/>
          <w:szCs w:val="32"/>
        </w:rPr>
        <w:t>本单位无此项预算安安排，无此项经费支出</w:t>
      </w:r>
      <w:r>
        <w:rPr>
          <w:rFonts w:hint="eastAsia" w:ascii="仿宋_GB2312" w:eastAsia="仿宋_GB2312"/>
          <w:sz w:val="32"/>
          <w:szCs w:val="32"/>
        </w:rPr>
        <w:t>；</w:t>
      </w:r>
      <w:r>
        <w:rPr>
          <w:rFonts w:hint="eastAsia" w:ascii="仿宋_GB2312" w:hAnsi="宋体" w:eastAsia="仿宋_GB2312" w:cs="宋体"/>
          <w:kern w:val="0"/>
          <w:sz w:val="32"/>
          <w:szCs w:val="32"/>
        </w:rPr>
        <w:t>公务用车购置</w:t>
      </w:r>
      <w:r>
        <w:rPr>
          <w:rFonts w:hint="eastAsia" w:ascii="仿宋_GB2312" w:eastAsia="仿宋_GB2312"/>
          <w:sz w:val="32"/>
          <w:szCs w:val="32"/>
        </w:rPr>
        <w:t>预算数</w:t>
      </w:r>
      <w:r>
        <w:rPr>
          <w:rFonts w:hint="eastAsia" w:ascii="仿宋_GB2312" w:eastAsia="仿宋_GB2312"/>
          <w:sz w:val="32"/>
          <w:szCs w:val="32"/>
          <w:lang w:val="en-US" w:eastAsia="zh-CN"/>
        </w:rPr>
        <w:t>0</w:t>
      </w:r>
      <w:r>
        <w:rPr>
          <w:rFonts w:hint="eastAsia" w:ascii="仿宋_GB2312" w:eastAsia="仿宋_GB2312"/>
          <w:sz w:val="32"/>
          <w:szCs w:val="32"/>
        </w:rPr>
        <w:t>万元，决算数</w:t>
      </w:r>
      <w:r>
        <w:rPr>
          <w:rFonts w:hint="eastAsia" w:ascii="仿宋_GB2312" w:eastAsia="仿宋_GB2312"/>
          <w:sz w:val="32"/>
          <w:szCs w:val="32"/>
          <w:lang w:val="en-US" w:eastAsia="zh-CN"/>
        </w:rPr>
        <w:t>0</w:t>
      </w:r>
      <w:r>
        <w:rPr>
          <w:rFonts w:hint="eastAsia" w:ascii="仿宋_GB2312" w:eastAsia="仿宋_GB2312"/>
          <w:sz w:val="32"/>
          <w:szCs w:val="32"/>
        </w:rPr>
        <w:t>万元，预决算差异率</w:t>
      </w:r>
      <w:r>
        <w:rPr>
          <w:rFonts w:hint="eastAsia" w:ascii="仿宋_GB2312" w:eastAsia="仿宋_GB2312"/>
          <w:color w:val="000000" w:themeColor="text1"/>
          <w:sz w:val="32"/>
          <w:szCs w:val="32"/>
          <w:lang w:val="en-US" w:eastAsia="zh-CN"/>
        </w:rPr>
        <w:t>0</w:t>
      </w:r>
      <w:r>
        <w:rPr>
          <w:rFonts w:hint="eastAsia" w:ascii="仿宋_GB2312" w:eastAsia="仿宋_GB2312"/>
          <w:sz w:val="32"/>
          <w:szCs w:val="32"/>
        </w:rPr>
        <w:t>%，差异主要原因</w:t>
      </w:r>
      <w:r>
        <w:rPr>
          <w:rFonts w:ascii="仿宋_GB2312" w:eastAsia="仿宋_GB2312"/>
          <w:color w:val="000000" w:themeColor="text1"/>
          <w:sz w:val="32"/>
          <w:szCs w:val="32"/>
        </w:rPr>
        <w:t>本单位无此项预算安安排，无此项经费支出</w:t>
      </w:r>
      <w:r>
        <w:rPr>
          <w:rFonts w:hint="eastAsia" w:ascii="仿宋_GB2312" w:eastAsia="仿宋_GB2312"/>
          <w:sz w:val="32"/>
          <w:szCs w:val="32"/>
        </w:rPr>
        <w:t>；</w:t>
      </w:r>
      <w:r>
        <w:rPr>
          <w:rFonts w:hint="eastAsia" w:ascii="仿宋_GB2312" w:hAnsi="宋体" w:eastAsia="仿宋_GB2312" w:cs="宋体"/>
          <w:kern w:val="0"/>
          <w:sz w:val="32"/>
          <w:szCs w:val="32"/>
        </w:rPr>
        <w:t>公务用车运行费</w:t>
      </w:r>
      <w:r>
        <w:rPr>
          <w:rFonts w:hint="eastAsia" w:ascii="仿宋_GB2312" w:eastAsia="仿宋_GB2312"/>
          <w:sz w:val="32"/>
          <w:szCs w:val="32"/>
        </w:rPr>
        <w:t>预算数</w:t>
      </w:r>
      <w:r>
        <w:rPr>
          <w:rFonts w:hint="eastAsia" w:ascii="仿宋_GB2312" w:eastAsia="仿宋_GB2312"/>
          <w:sz w:val="32"/>
          <w:szCs w:val="32"/>
          <w:lang w:val="en-US" w:eastAsia="zh-CN"/>
        </w:rPr>
        <w:t>2.25</w:t>
      </w:r>
      <w:r>
        <w:rPr>
          <w:rFonts w:hint="eastAsia" w:ascii="仿宋_GB2312" w:eastAsia="仿宋_GB2312"/>
          <w:sz w:val="32"/>
          <w:szCs w:val="32"/>
        </w:rPr>
        <w:t>万元，决算数</w:t>
      </w:r>
      <w:r>
        <w:rPr>
          <w:rFonts w:hint="eastAsia" w:ascii="仿宋_GB2312" w:eastAsia="仿宋_GB2312"/>
          <w:sz w:val="32"/>
          <w:szCs w:val="32"/>
          <w:lang w:val="en-US" w:eastAsia="zh-CN"/>
        </w:rPr>
        <w:t>2.1</w:t>
      </w:r>
      <w:r>
        <w:rPr>
          <w:rFonts w:hint="eastAsia" w:ascii="仿宋_GB2312" w:eastAsia="仿宋_GB2312"/>
          <w:sz w:val="32"/>
          <w:szCs w:val="32"/>
        </w:rPr>
        <w:t>万元，预决算差异率</w:t>
      </w:r>
      <w:r>
        <w:rPr>
          <w:rFonts w:ascii="仿宋_GB2312" w:eastAsia="仿宋_GB2312"/>
          <w:color w:val="000000" w:themeColor="text1"/>
          <w:sz w:val="32"/>
          <w:szCs w:val="32"/>
        </w:rPr>
        <w:t>-6.67</w:t>
      </w:r>
      <w:r>
        <w:rPr>
          <w:rFonts w:hint="eastAsia" w:ascii="仿宋_GB2312" w:eastAsia="仿宋_GB2312"/>
          <w:sz w:val="32"/>
          <w:szCs w:val="32"/>
        </w:rPr>
        <w:t>%，差异主要原因</w:t>
      </w:r>
      <w:r>
        <w:rPr>
          <w:rFonts w:ascii="仿宋_GB2312" w:eastAsia="仿宋_GB2312"/>
          <w:color w:val="000000" w:themeColor="text1"/>
          <w:sz w:val="32"/>
          <w:szCs w:val="32"/>
        </w:rPr>
        <w:t>严格执行“三公”经费只减不增的要求</w:t>
      </w:r>
      <w:r>
        <w:rPr>
          <w:rFonts w:hint="eastAsia" w:ascii="仿宋_GB2312" w:eastAsia="仿宋_GB2312"/>
          <w:sz w:val="32"/>
          <w:szCs w:val="32"/>
        </w:rPr>
        <w:t>；</w:t>
      </w:r>
      <w:r>
        <w:rPr>
          <w:rFonts w:hint="eastAsia" w:ascii="仿宋_GB2312" w:hAnsi="宋体" w:eastAsia="仿宋_GB2312" w:cs="宋体"/>
          <w:kern w:val="0"/>
          <w:sz w:val="32"/>
          <w:szCs w:val="32"/>
        </w:rPr>
        <w:t>公务接待费</w:t>
      </w:r>
      <w:r>
        <w:rPr>
          <w:rFonts w:hint="eastAsia" w:ascii="仿宋_GB2312" w:eastAsia="仿宋_GB2312"/>
          <w:sz w:val="32"/>
          <w:szCs w:val="32"/>
        </w:rPr>
        <w:t>预算数</w:t>
      </w:r>
      <w:r>
        <w:rPr>
          <w:rFonts w:hint="eastAsia" w:ascii="仿宋_GB2312" w:eastAsia="仿宋_GB2312"/>
          <w:sz w:val="32"/>
          <w:szCs w:val="32"/>
          <w:lang w:val="en-US" w:eastAsia="zh-CN"/>
        </w:rPr>
        <w:t>0</w:t>
      </w:r>
      <w:r>
        <w:rPr>
          <w:rFonts w:hint="eastAsia" w:ascii="仿宋_GB2312" w:eastAsia="仿宋_GB2312"/>
          <w:sz w:val="32"/>
          <w:szCs w:val="32"/>
        </w:rPr>
        <w:t>万元，决算数</w:t>
      </w:r>
      <w:r>
        <w:rPr>
          <w:rFonts w:hint="eastAsia" w:ascii="仿宋_GB2312" w:eastAsia="仿宋_GB2312"/>
          <w:sz w:val="32"/>
          <w:szCs w:val="32"/>
          <w:lang w:val="en-US" w:eastAsia="zh-CN"/>
        </w:rPr>
        <w:t>0</w:t>
      </w:r>
      <w:r>
        <w:rPr>
          <w:rFonts w:hint="eastAsia" w:ascii="仿宋_GB2312" w:eastAsia="仿宋_GB2312"/>
          <w:sz w:val="32"/>
          <w:szCs w:val="32"/>
        </w:rPr>
        <w:t>万元，预决算差异率</w:t>
      </w:r>
      <w:r>
        <w:rPr>
          <w:rFonts w:hint="eastAsia" w:ascii="仿宋_GB2312" w:eastAsia="仿宋_GB2312"/>
          <w:sz w:val="32"/>
          <w:szCs w:val="32"/>
          <w:lang w:val="en-US" w:eastAsia="zh-CN"/>
        </w:rPr>
        <w:t>0</w:t>
      </w:r>
      <w:r>
        <w:rPr>
          <w:rFonts w:hint="eastAsia" w:ascii="仿宋_GB2312" w:eastAsia="仿宋_GB2312"/>
          <w:sz w:val="32"/>
          <w:szCs w:val="32"/>
        </w:rPr>
        <w:t>%，差异主要原因</w:t>
      </w:r>
      <w:r>
        <w:rPr>
          <w:rFonts w:ascii="仿宋_GB2312" w:eastAsia="仿宋_GB2312"/>
          <w:color w:val="000000" w:themeColor="text1"/>
          <w:sz w:val="32"/>
          <w:szCs w:val="32"/>
        </w:rPr>
        <w:t>本单位无此项预算安安排，无此项经费支出</w:t>
      </w:r>
      <w:r>
        <w:rPr>
          <w:rFonts w:hint="eastAsia" w:ascii="仿宋_GB2312" w:eastAsia="仿宋_GB2312"/>
          <w:sz w:val="32"/>
          <w:szCs w:val="32"/>
        </w:rPr>
        <w:t>。</w:t>
      </w:r>
    </w:p>
    <w:p>
      <w:pPr>
        <w:spacing w:line="540" w:lineRule="exact"/>
        <w:ind w:firstLine="640" w:firstLineChars="200"/>
        <w:rPr>
          <w:rFonts w:ascii="黑体" w:hAnsi="黑体" w:eastAsia="黑体"/>
          <w:sz w:val="32"/>
          <w:szCs w:val="32"/>
        </w:rPr>
      </w:pPr>
      <w:r>
        <w:rPr>
          <w:rFonts w:hint="eastAsia" w:ascii="黑体" w:hAnsi="黑体" w:eastAsia="黑体"/>
          <w:sz w:val="32"/>
          <w:szCs w:val="32"/>
        </w:rPr>
        <w:t>五、机关运行经费支出情况</w:t>
      </w:r>
    </w:p>
    <w:p>
      <w:pPr>
        <w:spacing w:line="54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2018年度新疆喀什地区英吉沙县安全生产监督管理局机关运行经费支出9.23万元，与上年相比，增加2.27万元，增长32.61%，增加的主要原因是：机关各部门业务工作增加、人员配备增加、办公耗材增加。</w:t>
      </w:r>
    </w:p>
    <w:p>
      <w:pPr>
        <w:spacing w:line="540" w:lineRule="exact"/>
        <w:ind w:firstLine="640" w:firstLineChars="200"/>
        <w:rPr>
          <w:rFonts w:ascii="黑体" w:hAnsi="黑体" w:eastAsia="黑体"/>
          <w:color w:val="000000" w:themeColor="text1"/>
          <w:sz w:val="32"/>
          <w:szCs w:val="32"/>
        </w:rPr>
      </w:pPr>
      <w:r>
        <w:rPr>
          <w:rFonts w:hint="eastAsia" w:ascii="黑体" w:hAnsi="黑体" w:eastAsia="黑体"/>
          <w:color w:val="000000" w:themeColor="text1"/>
          <w:sz w:val="32"/>
          <w:szCs w:val="32"/>
        </w:rPr>
        <w:t>六、政府采购情况</w:t>
      </w:r>
    </w:p>
    <w:p>
      <w:pPr>
        <w:spacing w:line="54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2018年度</w:t>
      </w:r>
      <w:bookmarkStart w:id="56" w:name="OLE_LINK45"/>
      <w:r>
        <w:rPr>
          <w:rFonts w:hint="eastAsia" w:ascii="仿宋_GB2312" w:eastAsia="仿宋_GB2312"/>
          <w:color w:val="000000" w:themeColor="text1"/>
          <w:sz w:val="32"/>
          <w:szCs w:val="32"/>
        </w:rPr>
        <w:t>政府采购支出总额</w:t>
      </w:r>
      <w:bookmarkEnd w:id="56"/>
      <w:r>
        <w:rPr>
          <w:rFonts w:hint="eastAsia" w:ascii="仿宋_GB2312" w:eastAsia="仿宋_GB2312"/>
          <w:sz w:val="32"/>
          <w:szCs w:val="32"/>
        </w:rPr>
        <w:t>6.84</w:t>
      </w:r>
      <w:r>
        <w:rPr>
          <w:rFonts w:hint="eastAsia" w:ascii="仿宋_GB2312" w:eastAsia="仿宋_GB2312"/>
          <w:color w:val="000000" w:themeColor="text1"/>
          <w:sz w:val="32"/>
          <w:szCs w:val="32"/>
        </w:rPr>
        <w:t>万元，其中：</w:t>
      </w:r>
      <w:bookmarkStart w:id="57" w:name="OLE_LINK46"/>
      <w:r>
        <w:rPr>
          <w:rFonts w:hint="eastAsia" w:ascii="仿宋_GB2312" w:eastAsia="仿宋_GB2312"/>
          <w:color w:val="000000" w:themeColor="text1"/>
          <w:sz w:val="32"/>
          <w:szCs w:val="32"/>
        </w:rPr>
        <w:t>政府采购货物支出</w:t>
      </w:r>
      <w:bookmarkEnd w:id="57"/>
      <w:r>
        <w:rPr>
          <w:rFonts w:hint="eastAsia" w:ascii="仿宋_GB2312" w:eastAsia="仿宋_GB2312"/>
          <w:sz w:val="32"/>
          <w:szCs w:val="32"/>
        </w:rPr>
        <w:t>6.43</w:t>
      </w:r>
      <w:r>
        <w:rPr>
          <w:rFonts w:hint="eastAsia" w:ascii="仿宋_GB2312" w:eastAsia="仿宋_GB2312"/>
          <w:color w:val="000000" w:themeColor="text1"/>
          <w:sz w:val="32"/>
          <w:szCs w:val="32"/>
        </w:rPr>
        <w:t>万元、</w:t>
      </w:r>
      <w:bookmarkStart w:id="58" w:name="OLE_LINK47"/>
      <w:r>
        <w:rPr>
          <w:rFonts w:hint="eastAsia" w:ascii="仿宋_GB2312" w:eastAsia="仿宋_GB2312"/>
          <w:color w:val="000000" w:themeColor="text1"/>
          <w:sz w:val="32"/>
          <w:szCs w:val="32"/>
        </w:rPr>
        <w:t>政府采购工程支出</w:t>
      </w:r>
      <w:bookmarkEnd w:id="58"/>
      <w:r>
        <w:rPr>
          <w:rFonts w:hint="eastAsia" w:ascii="仿宋_GB2312" w:eastAsia="仿宋_GB2312"/>
          <w:sz w:val="32"/>
          <w:szCs w:val="32"/>
        </w:rPr>
        <w:t>0</w:t>
      </w:r>
      <w:r>
        <w:rPr>
          <w:rFonts w:hint="eastAsia" w:ascii="仿宋_GB2312" w:eastAsia="仿宋_GB2312"/>
          <w:color w:val="000000" w:themeColor="text1"/>
          <w:sz w:val="32"/>
          <w:szCs w:val="32"/>
        </w:rPr>
        <w:t>万元、</w:t>
      </w:r>
      <w:bookmarkStart w:id="59" w:name="OLE_LINK48"/>
      <w:r>
        <w:rPr>
          <w:rFonts w:hint="eastAsia" w:ascii="仿宋_GB2312" w:eastAsia="仿宋_GB2312"/>
          <w:color w:val="000000" w:themeColor="text1"/>
          <w:sz w:val="32"/>
          <w:szCs w:val="32"/>
        </w:rPr>
        <w:t>政府采购服务支出</w:t>
      </w:r>
      <w:bookmarkEnd w:id="59"/>
      <w:r>
        <w:rPr>
          <w:rFonts w:hint="eastAsia" w:ascii="仿宋_GB2312" w:eastAsia="仿宋_GB2312"/>
          <w:sz w:val="32"/>
          <w:szCs w:val="32"/>
        </w:rPr>
        <w:t>0.41</w:t>
      </w:r>
      <w:r>
        <w:rPr>
          <w:rFonts w:hint="eastAsia" w:ascii="仿宋_GB2312" w:eastAsia="仿宋_GB2312"/>
          <w:color w:val="000000" w:themeColor="text1"/>
          <w:sz w:val="32"/>
          <w:szCs w:val="32"/>
        </w:rPr>
        <w:t>万元。</w:t>
      </w:r>
    </w:p>
    <w:p>
      <w:pPr>
        <w:spacing w:line="540" w:lineRule="exact"/>
        <w:ind w:firstLine="640" w:firstLineChars="200"/>
        <w:rPr>
          <w:rFonts w:ascii="黑体" w:hAnsi="黑体" w:eastAsia="黑体"/>
          <w:color w:val="000000" w:themeColor="text1"/>
          <w:sz w:val="32"/>
          <w:szCs w:val="32"/>
        </w:rPr>
      </w:pPr>
      <w:r>
        <w:rPr>
          <w:rFonts w:hint="eastAsia" w:ascii="黑体" w:hAnsi="黑体" w:eastAsia="黑体"/>
          <w:color w:val="000000" w:themeColor="text1"/>
          <w:sz w:val="32"/>
          <w:szCs w:val="32"/>
        </w:rPr>
        <w:t>七、其他重要事项的情况</w:t>
      </w:r>
    </w:p>
    <w:p>
      <w:pPr>
        <w:spacing w:line="540" w:lineRule="exact"/>
        <w:ind w:firstLine="643" w:firstLineChars="200"/>
        <w:rPr>
          <w:rFonts w:ascii="楷体_GB2312" w:eastAsia="楷体_GB2312"/>
          <w:b/>
          <w:bCs/>
          <w:color w:val="000000" w:themeColor="text1"/>
          <w:sz w:val="32"/>
          <w:szCs w:val="32"/>
        </w:rPr>
      </w:pPr>
      <w:r>
        <w:rPr>
          <w:rFonts w:hint="eastAsia" w:ascii="楷体_GB2312" w:eastAsia="楷体_GB2312"/>
          <w:b/>
          <w:bCs/>
          <w:color w:val="000000" w:themeColor="text1"/>
          <w:sz w:val="32"/>
          <w:szCs w:val="32"/>
        </w:rPr>
        <w:t>（一）国有资产占用情况说明</w:t>
      </w:r>
    </w:p>
    <w:p>
      <w:pPr>
        <w:spacing w:line="540" w:lineRule="exact"/>
        <w:ind w:firstLine="640" w:firstLineChars="200"/>
        <w:rPr>
          <w:rFonts w:ascii="仿宋_GB2312" w:eastAsia="仿宋_GB2312"/>
          <w:color w:val="000000" w:themeColor="text1"/>
          <w:sz w:val="32"/>
          <w:szCs w:val="32"/>
        </w:rPr>
      </w:pPr>
      <w:bookmarkStart w:id="60" w:name="OLE_LINK97"/>
      <w:r>
        <w:rPr>
          <w:rFonts w:hint="eastAsia" w:ascii="仿宋_GB2312" w:eastAsia="仿宋_GB2312"/>
          <w:color w:val="000000" w:themeColor="text1"/>
          <w:sz w:val="32"/>
          <w:szCs w:val="32"/>
        </w:rPr>
        <w:t>截至2018年12月31日，单位共有车辆</w:t>
      </w:r>
      <w:r>
        <w:rPr>
          <w:rFonts w:hint="eastAsia" w:ascii="仿宋_GB2312" w:eastAsia="仿宋_GB2312"/>
          <w:sz w:val="32"/>
          <w:szCs w:val="32"/>
        </w:rPr>
        <w:t>1</w:t>
      </w:r>
      <w:r>
        <w:rPr>
          <w:rFonts w:hint="eastAsia" w:ascii="仿宋_GB2312" w:eastAsia="仿宋_GB2312"/>
          <w:color w:val="000000" w:themeColor="text1"/>
          <w:sz w:val="32"/>
          <w:szCs w:val="32"/>
        </w:rPr>
        <w:t>辆，价值</w:t>
      </w:r>
      <w:r>
        <w:rPr>
          <w:rFonts w:hint="eastAsia" w:ascii="仿宋_GB2312" w:eastAsia="仿宋_GB2312"/>
          <w:sz w:val="32"/>
          <w:szCs w:val="32"/>
        </w:rPr>
        <w:t>20</w:t>
      </w:r>
      <w:r>
        <w:rPr>
          <w:rFonts w:hint="eastAsia" w:ascii="仿宋_GB2312" w:eastAsia="仿宋_GB2312"/>
          <w:color w:val="000000" w:themeColor="text1"/>
          <w:sz w:val="32"/>
          <w:szCs w:val="32"/>
        </w:rPr>
        <w:t>万元，其中：部级领导干部用车</w:t>
      </w:r>
      <w:r>
        <w:rPr>
          <w:rFonts w:hint="eastAsia" w:ascii="仿宋_GB2312" w:eastAsia="仿宋_GB2312"/>
          <w:sz w:val="32"/>
          <w:szCs w:val="32"/>
        </w:rPr>
        <w:t>0</w:t>
      </w:r>
      <w:r>
        <w:rPr>
          <w:rFonts w:hint="eastAsia" w:ascii="仿宋_GB2312" w:eastAsia="仿宋_GB2312"/>
          <w:color w:val="000000" w:themeColor="text1"/>
          <w:sz w:val="32"/>
          <w:szCs w:val="32"/>
        </w:rPr>
        <w:t>辆、主要领导干部用车</w:t>
      </w:r>
      <w:r>
        <w:rPr>
          <w:rFonts w:ascii="仿宋_GB2312" w:eastAsia="仿宋_GB2312"/>
          <w:color w:val="000000" w:themeColor="text1"/>
          <w:sz w:val="32"/>
          <w:szCs w:val="32"/>
        </w:rPr>
        <w:t>0</w:t>
      </w:r>
      <w:r>
        <w:rPr>
          <w:rFonts w:hint="eastAsia" w:ascii="仿宋_GB2312" w:eastAsia="仿宋_GB2312"/>
          <w:color w:val="000000" w:themeColor="text1"/>
          <w:sz w:val="32"/>
          <w:szCs w:val="32"/>
        </w:rPr>
        <w:t>辆、机要通信用车</w:t>
      </w:r>
      <w:r>
        <w:rPr>
          <w:rFonts w:ascii="仿宋_GB2312" w:eastAsia="仿宋_GB2312"/>
          <w:color w:val="000000" w:themeColor="text1"/>
          <w:sz w:val="32"/>
          <w:szCs w:val="32"/>
        </w:rPr>
        <w:t>0</w:t>
      </w:r>
      <w:r>
        <w:rPr>
          <w:rFonts w:hint="eastAsia" w:ascii="仿宋_GB2312" w:eastAsia="仿宋_GB2312"/>
          <w:color w:val="000000" w:themeColor="text1"/>
          <w:sz w:val="32"/>
          <w:szCs w:val="32"/>
        </w:rPr>
        <w:t>辆、应急保障用车</w:t>
      </w:r>
      <w:r>
        <w:rPr>
          <w:rFonts w:ascii="仿宋_GB2312" w:eastAsia="仿宋_GB2312"/>
          <w:color w:val="000000" w:themeColor="text1"/>
          <w:sz w:val="32"/>
          <w:szCs w:val="32"/>
        </w:rPr>
        <w:t>0</w:t>
      </w:r>
      <w:r>
        <w:rPr>
          <w:rFonts w:hint="eastAsia" w:ascii="仿宋_GB2312" w:eastAsia="仿宋_GB2312"/>
          <w:color w:val="000000" w:themeColor="text1"/>
          <w:sz w:val="32"/>
          <w:szCs w:val="32"/>
        </w:rPr>
        <w:t>辆、执法执勤用车</w:t>
      </w:r>
      <w:r>
        <w:rPr>
          <w:rFonts w:hint="eastAsia" w:ascii="仿宋_GB2312" w:eastAsia="仿宋_GB2312"/>
          <w:sz w:val="32"/>
          <w:szCs w:val="32"/>
        </w:rPr>
        <w:t>1</w:t>
      </w:r>
      <w:r>
        <w:rPr>
          <w:rFonts w:hint="eastAsia" w:ascii="仿宋_GB2312" w:eastAsia="仿宋_GB2312"/>
          <w:color w:val="000000" w:themeColor="text1"/>
          <w:sz w:val="32"/>
          <w:szCs w:val="32"/>
        </w:rPr>
        <w:t>辆、特种专业技术用车</w:t>
      </w:r>
      <w:r>
        <w:rPr>
          <w:rFonts w:hint="eastAsia" w:ascii="仿宋_GB2312" w:eastAsia="仿宋_GB2312"/>
          <w:sz w:val="32"/>
          <w:szCs w:val="32"/>
        </w:rPr>
        <w:t>0</w:t>
      </w:r>
      <w:r>
        <w:rPr>
          <w:rFonts w:hint="eastAsia" w:ascii="仿宋_GB2312" w:eastAsia="仿宋_GB2312"/>
          <w:color w:val="000000" w:themeColor="text1"/>
          <w:sz w:val="32"/>
          <w:szCs w:val="32"/>
        </w:rPr>
        <w:t>辆、离退休干部用车</w:t>
      </w:r>
      <w:r>
        <w:rPr>
          <w:rFonts w:ascii="仿宋_GB2312" w:eastAsia="仿宋_GB2312"/>
          <w:color w:val="000000" w:themeColor="text1"/>
          <w:sz w:val="32"/>
          <w:szCs w:val="32"/>
        </w:rPr>
        <w:t>0</w:t>
      </w:r>
      <w:r>
        <w:rPr>
          <w:rFonts w:hint="eastAsia" w:ascii="仿宋_GB2312" w:eastAsia="仿宋_GB2312"/>
          <w:color w:val="000000" w:themeColor="text1"/>
          <w:sz w:val="32"/>
          <w:szCs w:val="32"/>
        </w:rPr>
        <w:t>辆、其他用车</w:t>
      </w:r>
      <w:r>
        <w:rPr>
          <w:rFonts w:ascii="仿宋_GB2312" w:eastAsia="仿宋_GB2312"/>
          <w:color w:val="000000" w:themeColor="text1"/>
          <w:sz w:val="32"/>
          <w:szCs w:val="32"/>
        </w:rPr>
        <w:t>0</w:t>
      </w:r>
      <w:r>
        <w:rPr>
          <w:rFonts w:hint="eastAsia" w:ascii="仿宋_GB2312" w:eastAsia="仿宋_GB2312"/>
          <w:color w:val="000000" w:themeColor="text1"/>
          <w:sz w:val="32"/>
          <w:szCs w:val="32"/>
        </w:rPr>
        <w:t>辆，其他用车主要是：</w:t>
      </w:r>
      <w:r>
        <w:rPr>
          <w:rFonts w:ascii="仿宋_GB2312" w:eastAsia="仿宋_GB2312"/>
          <w:color w:val="000000" w:themeColor="text1"/>
          <w:sz w:val="32"/>
          <w:szCs w:val="32"/>
        </w:rPr>
        <w:t>无其他用车；</w:t>
      </w:r>
      <w:r>
        <w:rPr>
          <w:rFonts w:hint="eastAsia" w:ascii="仿宋_GB2312" w:eastAsia="仿宋_GB2312"/>
          <w:color w:val="000000" w:themeColor="text1"/>
          <w:sz w:val="32"/>
          <w:szCs w:val="32"/>
        </w:rPr>
        <w:t>单位价值50万元以上通用设备</w:t>
      </w:r>
      <w:r>
        <w:rPr>
          <w:rFonts w:hint="eastAsia" w:ascii="仿宋_GB2312" w:eastAsia="仿宋_GB2312"/>
          <w:sz w:val="32"/>
          <w:szCs w:val="32"/>
        </w:rPr>
        <w:t>0</w:t>
      </w:r>
      <w:r>
        <w:rPr>
          <w:rFonts w:hint="eastAsia" w:ascii="仿宋_GB2312" w:eastAsia="仿宋_GB2312"/>
          <w:color w:val="000000" w:themeColor="text1"/>
          <w:sz w:val="32"/>
          <w:szCs w:val="32"/>
        </w:rPr>
        <w:t>台（套）、单位价值100万元以上专用设备</w:t>
      </w:r>
      <w:r>
        <w:rPr>
          <w:rFonts w:hint="eastAsia" w:ascii="仿宋_GB2312" w:eastAsia="仿宋_GB2312"/>
          <w:sz w:val="32"/>
          <w:szCs w:val="32"/>
        </w:rPr>
        <w:t>0</w:t>
      </w:r>
      <w:r>
        <w:rPr>
          <w:rFonts w:hint="eastAsia" w:ascii="仿宋_GB2312" w:eastAsia="仿宋_GB2312"/>
          <w:color w:val="000000" w:themeColor="text1"/>
          <w:sz w:val="32"/>
          <w:szCs w:val="32"/>
        </w:rPr>
        <w:t>台（套）。</w:t>
      </w:r>
      <w:bookmarkEnd w:id="60"/>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（二）预算绩效情况的说明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2018年度，本部门单位预算绩效自评情况：</w:t>
      </w:r>
      <w:r>
        <w:rPr>
          <w:rFonts w:ascii="仿宋_GB2312" w:eastAsia="仿宋_GB2312"/>
          <w:sz w:val="32"/>
          <w:szCs w:val="32"/>
        </w:rPr>
        <w:t>本年度开展预算绩效管理和绩效自评工作，以强化单位职能为核心，通过建立科学合理的绩效机制，客观准确的评价我单位项目支出绩效，不断完善绩效评价体系，加强监督检查和考核工作。我单位在实际执行过程中注重结果导向、强调成本效益、硬化责任约束，不断加强绩效管理队伍建设，提升业务素质，提高预算管理水平和政策实施效果，实现预算和绩效管理一体，着力提高财政资源配置效率和使用效益，全面提升我单位公共服务水平。
英吉沙县安全生产监督管理局2018年度部门预算总额为9.39万元，执行金额为9.39万元，预算执行率为100%。本次自评共涉及项目数1个，其中已完成项目1个、未完成项目0个，项目总体完成率为100%，各项目支出管理过程较为规范，预期绩效目标完成情况良好。通过本次自评全面总结了项目实施过程中的经验及不足，为2019年度预算绩效管理工作开展奠定基础。</w:t>
      </w:r>
    </w:p>
    <w:p>
      <w:pPr>
        <w:spacing w:line="540" w:lineRule="exact"/>
        <w:ind w:left="-1" w:right="-1" w:firstLine="646"/>
        <w:jc w:val="left"/>
      </w:pPr>
      <w:r>
        <w:rPr>
          <w:rFonts w:hint="eastAsia" w:ascii="仿宋_GB2312" w:hAnsi="仿宋_GB2312" w:eastAsia="仿宋_GB2312" w:cs="仿宋_GB2312"/>
          <w:b w:val="0"/>
          <w:color w:val="000000"/>
          <w:sz w:val="32"/>
          <w:u w:val="none"/>
          <w:lang w:val="en-US" w:eastAsia="zh-CN"/>
        </w:rPr>
        <w:t>1、</w:t>
      </w:r>
      <w:r>
        <w:rPr>
          <w:rFonts w:ascii="仿宋_GB2312" w:hAnsi="仿宋_GB2312" w:eastAsia="仿宋_GB2312" w:cs="仿宋_GB2312"/>
          <w:b w:val="0"/>
          <w:color w:val="000000"/>
          <w:sz w:val="32"/>
          <w:u w:val="none"/>
        </w:rPr>
        <w:t>英吉沙县安全监管局信息化建设项目项目绩效自评综述：根据年初设定的绩效目标，该项目绩效自评得分为</w:t>
      </w:r>
      <w:bookmarkStart w:id="61" w:name="_GoBack"/>
      <w:bookmarkEnd w:id="61"/>
      <w:r>
        <w:rPr>
          <w:rFonts w:ascii="仿宋_GB2312" w:hAnsi="仿宋_GB2312" w:eastAsia="仿宋_GB2312" w:cs="仿宋_GB2312"/>
          <w:b w:val="0"/>
          <w:color w:val="000000"/>
          <w:sz w:val="32"/>
          <w:u w:val="none"/>
        </w:rPr>
        <w:t>71分。项目全年预算数为9.39万元，执行数为9.39万元，完成预算的100%。主要产出和效果：加大事故的分析调研力度，加强企业人员培训的强度。用声音和影像更加直观、贴切的画面进行宣传做好安全生产工作。发现的问题及原因：安全监管有漏洞，执法人员无法做到专职专干，执法经费无法保障到位。下一步改进措施： 积极完善安全生产执法不严、执法不依的问题，提高执法过程有法有据。加强宣传安全生产工作的重要性，让更多的老百姓强化安全生产红线意识。</w:t>
      </w:r>
    </w:p>
    <w:p>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exact"/>
        <w:ind w:firstLine="646"/>
        <w:jc w:val="left"/>
        <w:rPr>
          <w:rFonts w:ascii="仿宋_GB2312" w:eastAsia="仿宋_GB2312"/>
          <w:sz w:val="32"/>
          <w:szCs w:val="32"/>
        </w:rPr>
      </w:pPr>
      <w:r>
        <w:rPr>
          <w:rFonts w:hint="eastAsia" w:ascii="仿宋_GB2312" w:eastAsia="仿宋_GB2312"/>
          <w:sz w:val="32"/>
          <w:szCs w:val="32"/>
        </w:rPr>
        <w:t>有关项目自评情况可附项目支出绩效自评表。</w:t>
      </w:r>
    </w:p>
    <w:p>
      <w:pPr>
        <w:spacing w:line="540" w:lineRule="exact"/>
        <w:jc w:val="center"/>
        <w:rPr>
          <w:rFonts w:ascii="黑体" w:hAnsi="黑体" w:eastAsia="黑体"/>
          <w:sz w:val="32"/>
          <w:szCs w:val="32"/>
        </w:rPr>
      </w:pPr>
      <w:r>
        <w:rPr>
          <w:rFonts w:hint="eastAsia" w:ascii="黑体" w:hAnsi="黑体" w:eastAsia="黑体"/>
          <w:sz w:val="32"/>
          <w:szCs w:val="32"/>
        </w:rPr>
        <w:t>第三部分 专业名词解释</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财政拨款收入：指同级财政当年拨付的资金。</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上级补助收入：指事业单位从主管部门和上级单位取得的非财政补助收入。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事业收入：指事业单位开展专业业务活动及其辅助活动所取得的收入。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经营收入：指事业单位在专业业务活动及其辅助活动之外开展非独立核算经营活动取得的收入。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附属单位上缴收入：指事业单位附属的独立核算单位按有关规定上缴的收入。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其他收入：指除上述“财政拨款收入”、“事业收入”、“经营收入”、“附属单位上缴收入”等之外取得的收入。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用事业基金弥补收支差额：指事业单位在当年的“财政拨款收入”、“财政拨款结转和结余资金”、“事业收入”、“事业单位经营收入”、“其他收入”不足以安排当年支出的情况下，使用以前年度积累的事业基金（即事业单位当年收支相抵后按国家规定提取、用于弥补以后年度收支差额的基金）弥补本年度收支缺口的资金。</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上年结转和结余：指以前年度支出预算因客观条件变化未执行完毕、结转到本年度按有关规定继续使用的资金，既包括财政拨款结转和结余，也包括事业收入、经营收入、其他收入的结转和结余。</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结余分配：反映单位当年结余的分配情况。</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年末结转和结余：指本年度或以前年度预算安排、因客观条件发生变化无法按原计划实施，需要延迟到以后年度按有关规定继续使用的资金，既包括财政拨款结转和结余，也包括事业收入、经营收入、其他收入的结转和结余。</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基本支出：指为保障机构正常运转、完成日常工作任务而发生的人员支出和公用支出。</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项目支出：指在基本支出之外为完成特定行政任务和事业发展目标所发生的支出。</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经营支出：指事业单位在专业业务活动及其辅助活动之外开展非独立核算经营活动发生的支出。</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对附属单位补助支出：指事业单位发生的用非财政预算资金对附属单位的补助支出。</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三公”经费：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spacing w:line="540" w:lineRule="exact"/>
        <w:ind w:firstLine="640" w:firstLineChars="200"/>
        <w:rPr>
          <w:rFonts w:ascii="仿宋_GB2312" w:hAnsi="Calibri" w:eastAsia="仿宋_GB2312"/>
          <w:color w:val="000000" w:themeColor="text1"/>
          <w:sz w:val="32"/>
          <w:szCs w:val="32"/>
          <w:lang w:val="en-GB"/>
        </w:rPr>
      </w:pPr>
      <w:r>
        <w:rPr>
          <w:rFonts w:hint="eastAsia" w:ascii="仿宋_GB2312" w:eastAsia="仿宋_GB2312"/>
          <w:color w:val="000000" w:themeColor="text1"/>
          <w:sz w:val="32"/>
          <w:szCs w:val="32"/>
        </w:rPr>
        <w:t>本单位支出功能分类说明</w:t>
      </w:r>
      <w:r>
        <w:rPr>
          <w:rFonts w:hint="eastAsia" w:ascii="仿宋_GB2312" w:hAnsi="Calibri" w:eastAsia="仿宋_GB2312"/>
          <w:color w:val="000000" w:themeColor="text1"/>
          <w:sz w:val="32"/>
          <w:szCs w:val="32"/>
          <w:lang w:val="en-GB"/>
        </w:rPr>
        <w:t>。</w:t>
      </w:r>
      <w:r>
        <w:rPr>
          <w:rFonts w:hint="eastAsia" w:ascii="仿宋_GB2312" w:eastAsia="仿宋_GB2312"/>
          <w:sz w:val="32"/>
          <w:szCs w:val="32"/>
        </w:rPr>
        <w:t>221（类）02（款）01（项）指：住房公积金。215（类）06（款）05（项）指：安全监管监察专项。215（类）06（款）99（项）指：其他安全生产监管支出。215（类）06（款）01（项）指：行政运行。208（类）05（款）05（项）指：机关事业单位基本养老保险缴费支出。</w:t>
      </w:r>
    </w:p>
    <w:p>
      <w:pPr>
        <w:spacing w:line="540" w:lineRule="exact"/>
        <w:ind w:firstLine="640" w:firstLineChars="200"/>
        <w:rPr>
          <w:rFonts w:ascii="仿宋_GB2312" w:hAnsi="Calibri" w:eastAsia="仿宋_GB2312"/>
          <w:sz w:val="32"/>
          <w:szCs w:val="32"/>
          <w:lang w:val="en-GB"/>
        </w:rPr>
      </w:pPr>
      <w:r>
        <w:rPr>
          <w:rFonts w:hint="eastAsia" w:ascii="仿宋_GB2312" w:eastAsia="仿宋_GB2312"/>
          <w:sz w:val="32"/>
          <w:szCs w:val="32"/>
        </w:rPr>
        <w:t>其他有关说明内容</w:t>
      </w:r>
      <w:r>
        <w:rPr>
          <w:rFonts w:hint="eastAsia" w:ascii="仿宋_GB2312" w:hAnsi="Calibri" w:eastAsia="仿宋_GB2312"/>
          <w:sz w:val="32"/>
          <w:szCs w:val="32"/>
          <w:lang w:val="en-GB"/>
        </w:rPr>
        <w:t>。</w:t>
      </w:r>
    </w:p>
    <w:p>
      <w:pPr>
        <w:spacing w:line="540" w:lineRule="exact"/>
        <w:ind w:firstLine="643" w:firstLineChars="200"/>
        <w:rPr>
          <w:rFonts w:ascii="仿宋_GB2312" w:eastAsia="仿宋_GB2312"/>
          <w:b/>
          <w:sz w:val="32"/>
          <w:szCs w:val="32"/>
        </w:rPr>
      </w:pPr>
    </w:p>
    <w:p>
      <w:pPr>
        <w:spacing w:line="540" w:lineRule="exact"/>
        <w:jc w:val="center"/>
        <w:rPr>
          <w:rFonts w:ascii="黑体" w:hAnsi="黑体" w:eastAsia="黑体"/>
          <w:sz w:val="32"/>
          <w:szCs w:val="32"/>
        </w:rPr>
      </w:pPr>
      <w:r>
        <w:rPr>
          <w:rFonts w:hint="eastAsia" w:ascii="黑体" w:hAnsi="黑体" w:eastAsia="黑体"/>
          <w:sz w:val="32"/>
          <w:szCs w:val="32"/>
        </w:rPr>
        <w:t>第四部分 部门决算公开的8张报表（见附表）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一、《收入支出决算总表》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二、《收入决算表》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三、《支出决算表》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四、《财政拨款收入支出决算总表》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五、《一般公共预算财政拨款支出决算表》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六、《一般公共预算财政拨款基本支出决算表》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七、《一般公共预算财政拨款“三公”经费支出决算表》</w:t>
      </w:r>
    </w:p>
    <w:p>
      <w:pPr>
        <w:spacing w:line="540" w:lineRule="exact"/>
        <w:ind w:firstLine="640" w:firstLineChars="200"/>
        <w:rPr>
          <w:rFonts w:hint="eastAsia" w:ascii="仿宋_GB2312" w:eastAsia="仿宋_GB2312"/>
          <w:sz w:val="32"/>
          <w:szCs w:val="32"/>
        </w:rPr>
      </w:pPr>
      <w:r>
        <w:rPr>
          <w:rFonts w:hint="eastAsia" w:ascii="仿宋_GB2312" w:hAnsi="宋体" w:eastAsia="仿宋_GB2312"/>
          <w:sz w:val="32"/>
          <w:szCs w:val="32"/>
        </w:rPr>
        <w:t>八、</w:t>
      </w:r>
      <w:r>
        <w:rPr>
          <w:rFonts w:hint="eastAsia" w:ascii="仿宋_GB2312" w:eastAsia="仿宋_GB2312"/>
          <w:sz w:val="32"/>
          <w:szCs w:val="32"/>
        </w:rPr>
        <w:t>《政府性基金预算财政拨款收入支出决算表》</w:t>
      </w:r>
    </w:p>
    <w:p>
      <w:pPr>
        <w:spacing w:line="540" w:lineRule="exact"/>
        <w:ind w:firstLine="640" w:firstLineChars="200"/>
        <w:rPr>
          <w:rFonts w:hint="eastAsia" w:ascii="仿宋_GB2312" w:eastAsia="仿宋_GB2312"/>
          <w:sz w:val="32"/>
          <w:szCs w:val="32"/>
        </w:rPr>
      </w:pPr>
    </w:p>
    <w:p>
      <w:pPr>
        <w:spacing w:line="540" w:lineRule="exact"/>
        <w:ind w:firstLine="640" w:firstLineChars="200"/>
        <w:rPr>
          <w:rFonts w:hint="eastAsia" w:ascii="仿宋_GB2312" w:eastAsia="仿宋_GB2312"/>
          <w:sz w:val="32"/>
          <w:szCs w:val="32"/>
        </w:rPr>
      </w:pPr>
    </w:p>
    <w:p>
      <w:pPr>
        <w:spacing w:line="540" w:lineRule="exact"/>
        <w:ind w:firstLine="640" w:firstLineChars="200"/>
        <w:rPr>
          <w:rFonts w:hint="eastAsia" w:ascii="仿宋_GB2312" w:eastAsia="仿宋_GB2312"/>
          <w:sz w:val="32"/>
          <w:szCs w:val="32"/>
        </w:rPr>
      </w:pPr>
    </w:p>
    <w:p>
      <w:pPr>
        <w:spacing w:line="540" w:lineRule="exact"/>
        <w:ind w:firstLine="640" w:firstLineChars="200"/>
        <w:rPr>
          <w:rFonts w:hint="eastAsia" w:ascii="仿宋_GB2312" w:eastAsia="仿宋_GB2312"/>
          <w:sz w:val="32"/>
          <w:szCs w:val="32"/>
        </w:rPr>
      </w:pPr>
    </w:p>
    <w:p>
      <w:pPr>
        <w:spacing w:line="540" w:lineRule="exact"/>
        <w:ind w:firstLine="640" w:firstLineChars="200"/>
        <w:rPr>
          <w:rFonts w:hint="eastAsia" w:ascii="仿宋_GB2312" w:eastAsia="仿宋_GB2312"/>
          <w:sz w:val="32"/>
          <w:szCs w:val="32"/>
        </w:rPr>
      </w:pPr>
    </w:p>
    <w:p>
      <w:pPr>
        <w:keepNext w:val="0"/>
        <w:keepLines w:val="0"/>
        <w:pageBreakBefore w:val="0"/>
        <w:widowControl w:val="0"/>
        <w:kinsoku/>
        <w:wordWrap/>
        <w:overflowPunct/>
        <w:topLinePunct w:val="0"/>
        <w:autoSpaceDE/>
        <w:autoSpaceDN/>
        <w:bidi w:val="0"/>
        <w:adjustRightInd/>
        <w:snapToGrid/>
        <w:spacing w:line="540" w:lineRule="exact"/>
        <w:ind w:firstLine="3200" w:firstLineChars="1000"/>
        <w:jc w:val="center"/>
        <w:textAlignment w:val="auto"/>
        <w:outlineLvl w:val="9"/>
        <w:rPr>
          <w:rFonts w:ascii="仿宋_GB2312" w:eastAsia="仿宋_GB2312"/>
          <w:sz w:val="32"/>
          <w:szCs w:val="32"/>
        </w:rPr>
      </w:pPr>
      <w:r>
        <w:rPr>
          <w:rFonts w:ascii="仿宋_GB2312" w:eastAsia="仿宋_GB2312"/>
          <w:sz w:val="32"/>
          <w:szCs w:val="32"/>
        </w:rPr>
        <w:t>英吉沙县安全生产监督管理局</w:t>
      </w:r>
    </w:p>
    <w:p>
      <w:pPr>
        <w:keepNext w:val="0"/>
        <w:keepLines w:val="0"/>
        <w:pageBreakBefore w:val="0"/>
        <w:widowControl w:val="0"/>
        <w:kinsoku/>
        <w:wordWrap/>
        <w:overflowPunct/>
        <w:topLinePunct w:val="0"/>
        <w:autoSpaceDE/>
        <w:autoSpaceDN/>
        <w:bidi w:val="0"/>
        <w:adjustRightInd/>
        <w:snapToGrid/>
        <w:spacing w:line="540" w:lineRule="exact"/>
        <w:ind w:firstLine="3200" w:firstLineChars="1000"/>
        <w:jc w:val="center"/>
        <w:textAlignment w:val="auto"/>
        <w:outlineLvl w:val="9"/>
        <w:rPr>
          <w:rFonts w:hint="eastAsia" w:ascii="仿宋_GB2312" w:eastAsia="仿宋_GB2312"/>
          <w:sz w:val="32"/>
          <w:szCs w:val="32"/>
          <w:lang w:val="en-US" w:eastAsia="zh-CN"/>
        </w:rPr>
        <w:sectPr>
          <w:footerReference r:id="rId3" w:type="default"/>
          <w:footerReference r:id="rId4" w:type="even"/>
          <w:pgSz w:w="11906" w:h="16838"/>
          <w:pgMar w:top="2041" w:right="1276" w:bottom="2041" w:left="1276" w:header="851" w:footer="1814" w:gutter="0"/>
          <w:pgNumType w:fmt="numberInDash"/>
          <w:cols w:space="425" w:num="1"/>
          <w:docGrid w:type="lines" w:linePitch="435" w:charSpace="-1675"/>
        </w:sectPr>
      </w:pPr>
      <w:r>
        <w:rPr>
          <w:rFonts w:hint="eastAsia" w:ascii="仿宋_GB2312" w:eastAsia="仿宋_GB2312"/>
          <w:sz w:val="32"/>
          <w:szCs w:val="32"/>
          <w:lang w:val="en-US" w:eastAsia="zh-CN"/>
        </w:rPr>
        <w:t>2019年8月15日</w:t>
      </w:r>
    </w:p>
    <w:p>
      <w:pPr>
        <w:spacing w:line="540" w:lineRule="exact"/>
        <w:ind w:firstLine="640" w:firstLineChars="200"/>
        <w:rPr>
          <w:rFonts w:hint="eastAsia" w:ascii="仿宋_GB2312" w:eastAsia="仿宋_GB2312"/>
          <w:sz w:val="32"/>
          <w:szCs w:val="32"/>
        </w:rPr>
        <w:sectPr>
          <w:footerReference r:id="rId5" w:type="default"/>
          <w:footerReference r:id="rId6" w:type="even"/>
          <w:pgSz w:w="11906" w:h="16838"/>
          <w:pgMar w:top="2041" w:right="1276" w:bottom="2041" w:left="1276" w:header="851" w:footer="1814" w:gutter="0"/>
          <w:pgNumType w:fmt="numberInDash"/>
          <w:cols w:space="425" w:num="1"/>
          <w:docGrid w:type="lines" w:linePitch="435" w:charSpace="-1675"/>
        </w:sectPr>
      </w:pPr>
    </w:p>
    <w:p>
      <w:pPr>
        <w:spacing w:line="540" w:lineRule="exact"/>
        <w:rPr>
          <w:rFonts w:ascii="仿宋_GB2312" w:eastAsia="仿宋_GB2312"/>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3000509000000000000"/>
    <w:charset w:val="86"/>
    <w:family w:val="script"/>
    <w:pitch w:val="default"/>
    <w:sig w:usb0="00000001" w:usb1="080E0000" w:usb2="0000000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楷体_GB2312">
    <w:altName w:val="楷体"/>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page" w:x="9631" w:y="37"/>
      <w:jc w:val="right"/>
      <w:rPr>
        <w:rStyle w:val="9"/>
        <w:rFonts w:ascii="宋体" w:hAnsi="宋体" w:eastAsia="宋体"/>
        <w:sz w:val="28"/>
      </w:rPr>
    </w:pPr>
    <w:r>
      <w:rPr>
        <w:rStyle w:val="9"/>
        <w:rFonts w:ascii="宋体" w:hAnsi="宋体" w:eastAsia="宋体"/>
        <w:sz w:val="28"/>
      </w:rPr>
      <w:fldChar w:fldCharType="begin"/>
    </w:r>
    <w:r>
      <w:rPr>
        <w:rStyle w:val="9"/>
        <w:rFonts w:ascii="宋体" w:hAnsi="宋体" w:eastAsia="宋体"/>
        <w:sz w:val="28"/>
      </w:rPr>
      <w:instrText xml:space="preserve"> PAGE </w:instrText>
    </w:r>
    <w:r>
      <w:rPr>
        <w:rStyle w:val="9"/>
        <w:rFonts w:ascii="宋体" w:hAnsi="宋体" w:eastAsia="宋体"/>
        <w:sz w:val="28"/>
      </w:rPr>
      <w:fldChar w:fldCharType="separate"/>
    </w:r>
    <w:r>
      <w:rPr>
        <w:rStyle w:val="9"/>
        <w:rFonts w:ascii="宋体" w:hAnsi="宋体" w:eastAsia="宋体"/>
        <w:sz w:val="28"/>
      </w:rPr>
      <w:t>- 1 -</w:t>
    </w:r>
    <w:r>
      <w:rPr>
        <w:rStyle w:val="9"/>
        <w:rFonts w:ascii="宋体" w:hAnsi="宋体" w:eastAsia="宋体"/>
        <w:sz w:val="28"/>
      </w:rPr>
      <w:fldChar w:fldCharType="end"/>
    </w:r>
    <w:r>
      <w:rPr>
        <w:rStyle w:val="9"/>
        <w:rFonts w:hint="eastAsia" w:ascii="宋体" w:hAnsi="宋体" w:eastAsia="宋体"/>
        <w:sz w:val="28"/>
      </w:rPr>
      <w:t xml:space="preserve"> </w:t>
    </w:r>
  </w:p>
  <w:p>
    <w:pPr>
      <w:pStyle w:val="4"/>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page" w:x="1756" w:y="37"/>
      <w:rPr>
        <w:rStyle w:val="9"/>
        <w:rFonts w:ascii="宋体" w:hAnsi="宋体" w:eastAsia="宋体"/>
        <w:sz w:val="28"/>
        <w:szCs w:val="28"/>
      </w:rPr>
    </w:pPr>
    <w:r>
      <w:rPr>
        <w:rStyle w:val="9"/>
        <w:rFonts w:ascii="宋体" w:hAnsi="宋体" w:eastAsia="宋体"/>
        <w:sz w:val="28"/>
        <w:szCs w:val="28"/>
      </w:rPr>
      <w:fldChar w:fldCharType="begin"/>
    </w:r>
    <w:r>
      <w:rPr>
        <w:rStyle w:val="9"/>
        <w:rFonts w:ascii="宋体" w:hAnsi="宋体" w:eastAsia="宋体"/>
        <w:sz w:val="28"/>
        <w:szCs w:val="28"/>
      </w:rPr>
      <w:instrText xml:space="preserve">PAGE  </w:instrText>
    </w:r>
    <w:r>
      <w:rPr>
        <w:rStyle w:val="9"/>
        <w:rFonts w:ascii="宋体" w:hAnsi="宋体" w:eastAsia="宋体"/>
        <w:sz w:val="28"/>
        <w:szCs w:val="28"/>
      </w:rPr>
      <w:fldChar w:fldCharType="separate"/>
    </w:r>
    <w:r>
      <w:rPr>
        <w:rStyle w:val="9"/>
        <w:rFonts w:ascii="宋体" w:hAnsi="宋体" w:eastAsia="宋体"/>
        <w:sz w:val="28"/>
        <w:szCs w:val="28"/>
      </w:rPr>
      <w:t>- 12 -</w:t>
    </w:r>
    <w:r>
      <w:rPr>
        <w:rStyle w:val="9"/>
        <w:rFonts w:ascii="宋体" w:hAnsi="宋体" w:eastAsia="宋体"/>
        <w:sz w:val="28"/>
        <w:szCs w:val="28"/>
      </w:rPr>
      <w:fldChar w:fldCharType="end"/>
    </w:r>
  </w:p>
  <w:p>
    <w:pPr>
      <w:pStyle w:val="4"/>
      <w:ind w:right="360"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page" w:x="9631" w:y="37"/>
      <w:jc w:val="right"/>
      <w:rPr>
        <w:rStyle w:val="9"/>
        <w:rFonts w:ascii="宋体" w:hAnsi="宋体" w:eastAsia="宋体"/>
        <w:sz w:val="28"/>
      </w:rPr>
    </w:pPr>
    <w:r>
      <w:rPr>
        <w:rStyle w:val="9"/>
        <w:rFonts w:ascii="宋体" w:hAnsi="宋体" w:eastAsia="宋体"/>
        <w:sz w:val="28"/>
      </w:rPr>
      <w:fldChar w:fldCharType="begin"/>
    </w:r>
    <w:r>
      <w:rPr>
        <w:rStyle w:val="9"/>
        <w:rFonts w:ascii="宋体" w:hAnsi="宋体" w:eastAsia="宋体"/>
        <w:sz w:val="28"/>
      </w:rPr>
      <w:instrText xml:space="preserve"> PAGE </w:instrText>
    </w:r>
    <w:r>
      <w:rPr>
        <w:rStyle w:val="9"/>
        <w:rFonts w:ascii="宋体" w:hAnsi="宋体" w:eastAsia="宋体"/>
        <w:sz w:val="28"/>
      </w:rPr>
      <w:fldChar w:fldCharType="separate"/>
    </w:r>
    <w:r>
      <w:rPr>
        <w:rStyle w:val="9"/>
        <w:rFonts w:ascii="宋体" w:hAnsi="宋体" w:eastAsia="宋体"/>
        <w:sz w:val="28"/>
      </w:rPr>
      <w:t>- 1 -</w:t>
    </w:r>
    <w:r>
      <w:rPr>
        <w:rStyle w:val="9"/>
        <w:rFonts w:ascii="宋体" w:hAnsi="宋体" w:eastAsia="宋体"/>
        <w:sz w:val="28"/>
      </w:rPr>
      <w:fldChar w:fldCharType="end"/>
    </w:r>
    <w:r>
      <w:rPr>
        <w:rStyle w:val="9"/>
        <w:rFonts w:hint="eastAsia" w:ascii="宋体" w:hAnsi="宋体" w:eastAsia="宋体"/>
        <w:sz w:val="28"/>
      </w:rPr>
      <w:t xml:space="preserve"> </w:t>
    </w:r>
  </w:p>
  <w:p>
    <w:pPr>
      <w:pStyle w:val="4"/>
      <w:ind w:right="360"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page" w:x="1756" w:y="37"/>
      <w:rPr>
        <w:rStyle w:val="9"/>
        <w:rFonts w:ascii="宋体" w:hAnsi="宋体" w:eastAsia="宋体"/>
        <w:sz w:val="28"/>
        <w:szCs w:val="28"/>
      </w:rPr>
    </w:pPr>
    <w:r>
      <w:rPr>
        <w:rStyle w:val="9"/>
        <w:rFonts w:ascii="宋体" w:hAnsi="宋体" w:eastAsia="宋体"/>
        <w:sz w:val="28"/>
        <w:szCs w:val="28"/>
      </w:rPr>
      <w:fldChar w:fldCharType="begin"/>
    </w:r>
    <w:r>
      <w:rPr>
        <w:rStyle w:val="9"/>
        <w:rFonts w:ascii="宋体" w:hAnsi="宋体" w:eastAsia="宋体"/>
        <w:sz w:val="28"/>
        <w:szCs w:val="28"/>
      </w:rPr>
      <w:instrText xml:space="preserve">PAGE  </w:instrText>
    </w:r>
    <w:r>
      <w:rPr>
        <w:rStyle w:val="9"/>
        <w:rFonts w:ascii="宋体" w:hAnsi="宋体" w:eastAsia="宋体"/>
        <w:sz w:val="28"/>
        <w:szCs w:val="28"/>
      </w:rPr>
      <w:fldChar w:fldCharType="separate"/>
    </w:r>
    <w:r>
      <w:rPr>
        <w:rStyle w:val="9"/>
        <w:rFonts w:ascii="宋体" w:hAnsi="宋体" w:eastAsia="宋体"/>
        <w:sz w:val="28"/>
        <w:szCs w:val="28"/>
      </w:rPr>
      <w:t>- 12 -</w:t>
    </w:r>
    <w:r>
      <w:rPr>
        <w:rStyle w:val="9"/>
        <w:rFonts w:ascii="宋体" w:hAnsi="宋体" w:eastAsia="宋体"/>
        <w:sz w:val="28"/>
        <w:szCs w:val="28"/>
      </w:rPr>
      <w:fldChar w:fldCharType="end"/>
    </w:r>
  </w:p>
  <w:p>
    <w:pPr>
      <w:pStyle w:val="4"/>
      <w:ind w:right="360" w:firstLine="36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443568"/>
    <w:rsid w:val="00000A75"/>
    <w:rsid w:val="00003BF7"/>
    <w:rsid w:val="00005719"/>
    <w:rsid w:val="00007F37"/>
    <w:rsid w:val="00010976"/>
    <w:rsid w:val="0002118A"/>
    <w:rsid w:val="00021887"/>
    <w:rsid w:val="00022242"/>
    <w:rsid w:val="00040E57"/>
    <w:rsid w:val="00044097"/>
    <w:rsid w:val="00050E1F"/>
    <w:rsid w:val="00054305"/>
    <w:rsid w:val="00060E28"/>
    <w:rsid w:val="000635BD"/>
    <w:rsid w:val="00065838"/>
    <w:rsid w:val="00080DEB"/>
    <w:rsid w:val="00083BBE"/>
    <w:rsid w:val="00083EBE"/>
    <w:rsid w:val="00091B9F"/>
    <w:rsid w:val="000A2EE8"/>
    <w:rsid w:val="000A497E"/>
    <w:rsid w:val="000A7773"/>
    <w:rsid w:val="000B08C5"/>
    <w:rsid w:val="000B206D"/>
    <w:rsid w:val="000B2C8D"/>
    <w:rsid w:val="000B6AD4"/>
    <w:rsid w:val="000B6C14"/>
    <w:rsid w:val="000B7C75"/>
    <w:rsid w:val="000C1474"/>
    <w:rsid w:val="000C7811"/>
    <w:rsid w:val="000D21F9"/>
    <w:rsid w:val="000E0AB3"/>
    <w:rsid w:val="000E21E6"/>
    <w:rsid w:val="000E65F1"/>
    <w:rsid w:val="000E73E7"/>
    <w:rsid w:val="000E75AE"/>
    <w:rsid w:val="0010072E"/>
    <w:rsid w:val="00101D4F"/>
    <w:rsid w:val="0010481F"/>
    <w:rsid w:val="001128DE"/>
    <w:rsid w:val="00113241"/>
    <w:rsid w:val="0012066C"/>
    <w:rsid w:val="00123283"/>
    <w:rsid w:val="00124713"/>
    <w:rsid w:val="00124A31"/>
    <w:rsid w:val="00124B40"/>
    <w:rsid w:val="00133488"/>
    <w:rsid w:val="00133516"/>
    <w:rsid w:val="00137B91"/>
    <w:rsid w:val="00142400"/>
    <w:rsid w:val="00150BEF"/>
    <w:rsid w:val="00151A95"/>
    <w:rsid w:val="00157F86"/>
    <w:rsid w:val="00164EBC"/>
    <w:rsid w:val="001669CC"/>
    <w:rsid w:val="00166DAB"/>
    <w:rsid w:val="00166E4B"/>
    <w:rsid w:val="00167DB8"/>
    <w:rsid w:val="00170C1A"/>
    <w:rsid w:val="00171B68"/>
    <w:rsid w:val="00173DD7"/>
    <w:rsid w:val="00177527"/>
    <w:rsid w:val="00184AA3"/>
    <w:rsid w:val="00194099"/>
    <w:rsid w:val="001951FF"/>
    <w:rsid w:val="001A10E6"/>
    <w:rsid w:val="001A135B"/>
    <w:rsid w:val="001A1FDB"/>
    <w:rsid w:val="001A2A1A"/>
    <w:rsid w:val="001B3A06"/>
    <w:rsid w:val="001B5DF3"/>
    <w:rsid w:val="001C26F2"/>
    <w:rsid w:val="001C38EB"/>
    <w:rsid w:val="001C79E0"/>
    <w:rsid w:val="001D640A"/>
    <w:rsid w:val="001D65CB"/>
    <w:rsid w:val="001E197A"/>
    <w:rsid w:val="001E2962"/>
    <w:rsid w:val="001F0E21"/>
    <w:rsid w:val="001F2FE9"/>
    <w:rsid w:val="001F3267"/>
    <w:rsid w:val="001F6948"/>
    <w:rsid w:val="0020033F"/>
    <w:rsid w:val="00200C57"/>
    <w:rsid w:val="00207AD5"/>
    <w:rsid w:val="0021204D"/>
    <w:rsid w:val="002127E3"/>
    <w:rsid w:val="002146E7"/>
    <w:rsid w:val="00216FD0"/>
    <w:rsid w:val="00226DF0"/>
    <w:rsid w:val="00231C2E"/>
    <w:rsid w:val="00241293"/>
    <w:rsid w:val="00245135"/>
    <w:rsid w:val="002453A6"/>
    <w:rsid w:val="00247520"/>
    <w:rsid w:val="00251FC8"/>
    <w:rsid w:val="00256471"/>
    <w:rsid w:val="00257943"/>
    <w:rsid w:val="002608FE"/>
    <w:rsid w:val="00271D59"/>
    <w:rsid w:val="0027418F"/>
    <w:rsid w:val="00282470"/>
    <w:rsid w:val="00295B34"/>
    <w:rsid w:val="0029700A"/>
    <w:rsid w:val="002A7E48"/>
    <w:rsid w:val="002B1DA2"/>
    <w:rsid w:val="002B557B"/>
    <w:rsid w:val="002B5D8E"/>
    <w:rsid w:val="002C0FB9"/>
    <w:rsid w:val="002C4530"/>
    <w:rsid w:val="002D2B8C"/>
    <w:rsid w:val="002D34C1"/>
    <w:rsid w:val="002D76FA"/>
    <w:rsid w:val="002E189D"/>
    <w:rsid w:val="002E18D1"/>
    <w:rsid w:val="002E1B0E"/>
    <w:rsid w:val="002E531F"/>
    <w:rsid w:val="002E64E8"/>
    <w:rsid w:val="002F3234"/>
    <w:rsid w:val="002F4F3E"/>
    <w:rsid w:val="00300B06"/>
    <w:rsid w:val="0030440B"/>
    <w:rsid w:val="00305C33"/>
    <w:rsid w:val="00307208"/>
    <w:rsid w:val="00311036"/>
    <w:rsid w:val="003136FF"/>
    <w:rsid w:val="003167D1"/>
    <w:rsid w:val="00317644"/>
    <w:rsid w:val="00317B91"/>
    <w:rsid w:val="00320F9D"/>
    <w:rsid w:val="003217D2"/>
    <w:rsid w:val="003228EE"/>
    <w:rsid w:val="0032647C"/>
    <w:rsid w:val="00326734"/>
    <w:rsid w:val="0033566D"/>
    <w:rsid w:val="003441F7"/>
    <w:rsid w:val="00344D62"/>
    <w:rsid w:val="00345984"/>
    <w:rsid w:val="00361388"/>
    <w:rsid w:val="00363F78"/>
    <w:rsid w:val="003642F3"/>
    <w:rsid w:val="00364924"/>
    <w:rsid w:val="00366A76"/>
    <w:rsid w:val="003700A6"/>
    <w:rsid w:val="00371AB7"/>
    <w:rsid w:val="00376020"/>
    <w:rsid w:val="00376E66"/>
    <w:rsid w:val="003818F3"/>
    <w:rsid w:val="0038402D"/>
    <w:rsid w:val="00386083"/>
    <w:rsid w:val="003913BA"/>
    <w:rsid w:val="003929A0"/>
    <w:rsid w:val="00394E80"/>
    <w:rsid w:val="00396057"/>
    <w:rsid w:val="003A03AB"/>
    <w:rsid w:val="003A251D"/>
    <w:rsid w:val="003A4403"/>
    <w:rsid w:val="003B29BD"/>
    <w:rsid w:val="003B4AA1"/>
    <w:rsid w:val="003B68E6"/>
    <w:rsid w:val="003B6E53"/>
    <w:rsid w:val="003C5A61"/>
    <w:rsid w:val="003D124B"/>
    <w:rsid w:val="003D161B"/>
    <w:rsid w:val="003D3AA4"/>
    <w:rsid w:val="003E4A05"/>
    <w:rsid w:val="003E5F5C"/>
    <w:rsid w:val="003E7D9E"/>
    <w:rsid w:val="003F37E0"/>
    <w:rsid w:val="00401A23"/>
    <w:rsid w:val="00401CA2"/>
    <w:rsid w:val="00405E6D"/>
    <w:rsid w:val="00411C55"/>
    <w:rsid w:val="00415648"/>
    <w:rsid w:val="00415BCE"/>
    <w:rsid w:val="0042015D"/>
    <w:rsid w:val="0042215C"/>
    <w:rsid w:val="00425950"/>
    <w:rsid w:val="00430B78"/>
    <w:rsid w:val="00441209"/>
    <w:rsid w:val="00443568"/>
    <w:rsid w:val="00444981"/>
    <w:rsid w:val="0045026B"/>
    <w:rsid w:val="004558AB"/>
    <w:rsid w:val="00457729"/>
    <w:rsid w:val="0047598D"/>
    <w:rsid w:val="004802CE"/>
    <w:rsid w:val="00486DB6"/>
    <w:rsid w:val="00487D16"/>
    <w:rsid w:val="004957F5"/>
    <w:rsid w:val="004976A5"/>
    <w:rsid w:val="004A0034"/>
    <w:rsid w:val="004A02D4"/>
    <w:rsid w:val="004A0690"/>
    <w:rsid w:val="004A2CA4"/>
    <w:rsid w:val="004A7A7B"/>
    <w:rsid w:val="004B401D"/>
    <w:rsid w:val="004B58A1"/>
    <w:rsid w:val="004B7BB8"/>
    <w:rsid w:val="004C351C"/>
    <w:rsid w:val="004C5BB4"/>
    <w:rsid w:val="004C7372"/>
    <w:rsid w:val="004D508F"/>
    <w:rsid w:val="004D5F0E"/>
    <w:rsid w:val="004D6793"/>
    <w:rsid w:val="004D7DE9"/>
    <w:rsid w:val="004E15B7"/>
    <w:rsid w:val="004E5557"/>
    <w:rsid w:val="004E678C"/>
    <w:rsid w:val="004F067D"/>
    <w:rsid w:val="004F0DBA"/>
    <w:rsid w:val="004F33DA"/>
    <w:rsid w:val="004F77C5"/>
    <w:rsid w:val="00501302"/>
    <w:rsid w:val="00507F68"/>
    <w:rsid w:val="00523B8A"/>
    <w:rsid w:val="00532585"/>
    <w:rsid w:val="00533FA0"/>
    <w:rsid w:val="0054006F"/>
    <w:rsid w:val="00540C10"/>
    <w:rsid w:val="005464FA"/>
    <w:rsid w:val="00560650"/>
    <w:rsid w:val="00567FB5"/>
    <w:rsid w:val="005770C3"/>
    <w:rsid w:val="00577753"/>
    <w:rsid w:val="00581AD2"/>
    <w:rsid w:val="005857A0"/>
    <w:rsid w:val="00592D42"/>
    <w:rsid w:val="005A5B02"/>
    <w:rsid w:val="005B3245"/>
    <w:rsid w:val="005B6754"/>
    <w:rsid w:val="005B75C0"/>
    <w:rsid w:val="005C3143"/>
    <w:rsid w:val="005D311B"/>
    <w:rsid w:val="005D61D8"/>
    <w:rsid w:val="005E3B86"/>
    <w:rsid w:val="005E4E6B"/>
    <w:rsid w:val="005E6995"/>
    <w:rsid w:val="005E7C64"/>
    <w:rsid w:val="005F2A5A"/>
    <w:rsid w:val="005F2AEA"/>
    <w:rsid w:val="005F4FFE"/>
    <w:rsid w:val="00602C6F"/>
    <w:rsid w:val="00604ECA"/>
    <w:rsid w:val="006069FD"/>
    <w:rsid w:val="00610EE1"/>
    <w:rsid w:val="0061632B"/>
    <w:rsid w:val="006168AD"/>
    <w:rsid w:val="00621929"/>
    <w:rsid w:val="0062266C"/>
    <w:rsid w:val="006250CB"/>
    <w:rsid w:val="00627F36"/>
    <w:rsid w:val="006304D1"/>
    <w:rsid w:val="00631DA8"/>
    <w:rsid w:val="0063431E"/>
    <w:rsid w:val="00645C30"/>
    <w:rsid w:val="0065497B"/>
    <w:rsid w:val="00654E41"/>
    <w:rsid w:val="0067149A"/>
    <w:rsid w:val="0069278A"/>
    <w:rsid w:val="006A1C84"/>
    <w:rsid w:val="006A745B"/>
    <w:rsid w:val="006A78F4"/>
    <w:rsid w:val="006B0F85"/>
    <w:rsid w:val="006B4B06"/>
    <w:rsid w:val="006B4D0D"/>
    <w:rsid w:val="006B60E5"/>
    <w:rsid w:val="006B636C"/>
    <w:rsid w:val="006C1DED"/>
    <w:rsid w:val="006C3692"/>
    <w:rsid w:val="006D0B78"/>
    <w:rsid w:val="006D45B7"/>
    <w:rsid w:val="006D62B0"/>
    <w:rsid w:val="006F14EB"/>
    <w:rsid w:val="006F5BD8"/>
    <w:rsid w:val="007015B6"/>
    <w:rsid w:val="00701EC2"/>
    <w:rsid w:val="007021BE"/>
    <w:rsid w:val="00706C32"/>
    <w:rsid w:val="007106B4"/>
    <w:rsid w:val="007214A9"/>
    <w:rsid w:val="007214DF"/>
    <w:rsid w:val="007220B1"/>
    <w:rsid w:val="007302C1"/>
    <w:rsid w:val="0073120F"/>
    <w:rsid w:val="007314F0"/>
    <w:rsid w:val="0074240E"/>
    <w:rsid w:val="00742FA1"/>
    <w:rsid w:val="007476BA"/>
    <w:rsid w:val="00750798"/>
    <w:rsid w:val="00752BCF"/>
    <w:rsid w:val="0076538D"/>
    <w:rsid w:val="007714E5"/>
    <w:rsid w:val="00773D5E"/>
    <w:rsid w:val="00776FAF"/>
    <w:rsid w:val="00777229"/>
    <w:rsid w:val="007775E8"/>
    <w:rsid w:val="0078072D"/>
    <w:rsid w:val="00795099"/>
    <w:rsid w:val="00796088"/>
    <w:rsid w:val="007A2C71"/>
    <w:rsid w:val="007A2FBD"/>
    <w:rsid w:val="007A6743"/>
    <w:rsid w:val="007B1E23"/>
    <w:rsid w:val="007B2E9D"/>
    <w:rsid w:val="007B4447"/>
    <w:rsid w:val="007C0F24"/>
    <w:rsid w:val="007C1415"/>
    <w:rsid w:val="007C2670"/>
    <w:rsid w:val="007C2E4F"/>
    <w:rsid w:val="007C5E7D"/>
    <w:rsid w:val="007C7E2E"/>
    <w:rsid w:val="007D2127"/>
    <w:rsid w:val="007E3095"/>
    <w:rsid w:val="007F27ED"/>
    <w:rsid w:val="008043B9"/>
    <w:rsid w:val="0080628E"/>
    <w:rsid w:val="00807ACF"/>
    <w:rsid w:val="00821E76"/>
    <w:rsid w:val="008259BC"/>
    <w:rsid w:val="0083105A"/>
    <w:rsid w:val="00837040"/>
    <w:rsid w:val="008427AB"/>
    <w:rsid w:val="00847DCE"/>
    <w:rsid w:val="0085023C"/>
    <w:rsid w:val="00853966"/>
    <w:rsid w:val="00857827"/>
    <w:rsid w:val="00866A6C"/>
    <w:rsid w:val="008969FE"/>
    <w:rsid w:val="008A237C"/>
    <w:rsid w:val="008A2D2C"/>
    <w:rsid w:val="008A3633"/>
    <w:rsid w:val="008B2514"/>
    <w:rsid w:val="008B4607"/>
    <w:rsid w:val="008B5C78"/>
    <w:rsid w:val="008C030F"/>
    <w:rsid w:val="008C3836"/>
    <w:rsid w:val="008E28BD"/>
    <w:rsid w:val="008E4EAC"/>
    <w:rsid w:val="008E5D6E"/>
    <w:rsid w:val="008F0F07"/>
    <w:rsid w:val="00910E73"/>
    <w:rsid w:val="009110DE"/>
    <w:rsid w:val="00913B22"/>
    <w:rsid w:val="00914BA4"/>
    <w:rsid w:val="00920C0A"/>
    <w:rsid w:val="00920E2A"/>
    <w:rsid w:val="00922EA0"/>
    <w:rsid w:val="009240D6"/>
    <w:rsid w:val="00924A08"/>
    <w:rsid w:val="009256ED"/>
    <w:rsid w:val="00927052"/>
    <w:rsid w:val="00927281"/>
    <w:rsid w:val="00940134"/>
    <w:rsid w:val="00943A3E"/>
    <w:rsid w:val="00944CCC"/>
    <w:rsid w:val="00945E7F"/>
    <w:rsid w:val="00947403"/>
    <w:rsid w:val="0095057C"/>
    <w:rsid w:val="009543BA"/>
    <w:rsid w:val="00954FB4"/>
    <w:rsid w:val="00960925"/>
    <w:rsid w:val="00970AB3"/>
    <w:rsid w:val="00982C13"/>
    <w:rsid w:val="00985DF4"/>
    <w:rsid w:val="00987E45"/>
    <w:rsid w:val="0099241E"/>
    <w:rsid w:val="009942F3"/>
    <w:rsid w:val="00994950"/>
    <w:rsid w:val="0099652B"/>
    <w:rsid w:val="009A0831"/>
    <w:rsid w:val="009A44FB"/>
    <w:rsid w:val="009A5CDE"/>
    <w:rsid w:val="009B3F92"/>
    <w:rsid w:val="009C3CE9"/>
    <w:rsid w:val="009C6A82"/>
    <w:rsid w:val="009D15D2"/>
    <w:rsid w:val="009D592F"/>
    <w:rsid w:val="009D641F"/>
    <w:rsid w:val="009E49B5"/>
    <w:rsid w:val="009E711C"/>
    <w:rsid w:val="009F06B8"/>
    <w:rsid w:val="00A0017F"/>
    <w:rsid w:val="00A037A6"/>
    <w:rsid w:val="00A11A5F"/>
    <w:rsid w:val="00A11F40"/>
    <w:rsid w:val="00A13D3F"/>
    <w:rsid w:val="00A273DB"/>
    <w:rsid w:val="00A3080D"/>
    <w:rsid w:val="00A30EB7"/>
    <w:rsid w:val="00A31D7F"/>
    <w:rsid w:val="00A338C6"/>
    <w:rsid w:val="00A408E3"/>
    <w:rsid w:val="00A425CE"/>
    <w:rsid w:val="00A44660"/>
    <w:rsid w:val="00A55F77"/>
    <w:rsid w:val="00A72457"/>
    <w:rsid w:val="00A86966"/>
    <w:rsid w:val="00A872D8"/>
    <w:rsid w:val="00A912CC"/>
    <w:rsid w:val="00A970D1"/>
    <w:rsid w:val="00AA57AE"/>
    <w:rsid w:val="00AB0AFB"/>
    <w:rsid w:val="00AC002C"/>
    <w:rsid w:val="00AC1DD9"/>
    <w:rsid w:val="00AC4218"/>
    <w:rsid w:val="00AD3489"/>
    <w:rsid w:val="00AD3E2D"/>
    <w:rsid w:val="00AD51DD"/>
    <w:rsid w:val="00AE5C1B"/>
    <w:rsid w:val="00AE79D8"/>
    <w:rsid w:val="00AE7BAC"/>
    <w:rsid w:val="00AF09FB"/>
    <w:rsid w:val="00B00C16"/>
    <w:rsid w:val="00B03B3E"/>
    <w:rsid w:val="00B046A4"/>
    <w:rsid w:val="00B06382"/>
    <w:rsid w:val="00B0733F"/>
    <w:rsid w:val="00B10701"/>
    <w:rsid w:val="00B146E7"/>
    <w:rsid w:val="00B30B86"/>
    <w:rsid w:val="00B32A4F"/>
    <w:rsid w:val="00B358E2"/>
    <w:rsid w:val="00B40CB6"/>
    <w:rsid w:val="00B50AD6"/>
    <w:rsid w:val="00B51AB3"/>
    <w:rsid w:val="00B5337C"/>
    <w:rsid w:val="00B5340F"/>
    <w:rsid w:val="00B611F7"/>
    <w:rsid w:val="00B6765D"/>
    <w:rsid w:val="00B717C5"/>
    <w:rsid w:val="00B75463"/>
    <w:rsid w:val="00B90F21"/>
    <w:rsid w:val="00B93445"/>
    <w:rsid w:val="00B94F7E"/>
    <w:rsid w:val="00B95F83"/>
    <w:rsid w:val="00B965C5"/>
    <w:rsid w:val="00B96E34"/>
    <w:rsid w:val="00B9729A"/>
    <w:rsid w:val="00BB0177"/>
    <w:rsid w:val="00BB3A31"/>
    <w:rsid w:val="00BC2D65"/>
    <w:rsid w:val="00BD1F2C"/>
    <w:rsid w:val="00BD2BBE"/>
    <w:rsid w:val="00BD7EF8"/>
    <w:rsid w:val="00BE0FEE"/>
    <w:rsid w:val="00BE4817"/>
    <w:rsid w:val="00BE721C"/>
    <w:rsid w:val="00BF0DC7"/>
    <w:rsid w:val="00BF1F54"/>
    <w:rsid w:val="00C04782"/>
    <w:rsid w:val="00C04F2D"/>
    <w:rsid w:val="00C238F0"/>
    <w:rsid w:val="00C25CC6"/>
    <w:rsid w:val="00C31297"/>
    <w:rsid w:val="00C61A9B"/>
    <w:rsid w:val="00C732F1"/>
    <w:rsid w:val="00C8565C"/>
    <w:rsid w:val="00C92227"/>
    <w:rsid w:val="00CB0287"/>
    <w:rsid w:val="00CB11AE"/>
    <w:rsid w:val="00CB2CF7"/>
    <w:rsid w:val="00CC1506"/>
    <w:rsid w:val="00CC176A"/>
    <w:rsid w:val="00CC1B4E"/>
    <w:rsid w:val="00CC3731"/>
    <w:rsid w:val="00CC4506"/>
    <w:rsid w:val="00CC4F04"/>
    <w:rsid w:val="00CD723D"/>
    <w:rsid w:val="00CE1BBB"/>
    <w:rsid w:val="00CF226A"/>
    <w:rsid w:val="00CF3263"/>
    <w:rsid w:val="00CF444E"/>
    <w:rsid w:val="00D001BF"/>
    <w:rsid w:val="00D07FED"/>
    <w:rsid w:val="00D1171B"/>
    <w:rsid w:val="00D1499A"/>
    <w:rsid w:val="00D16172"/>
    <w:rsid w:val="00D20653"/>
    <w:rsid w:val="00D25C67"/>
    <w:rsid w:val="00D30DDB"/>
    <w:rsid w:val="00D334A9"/>
    <w:rsid w:val="00D36199"/>
    <w:rsid w:val="00D43678"/>
    <w:rsid w:val="00D51F2C"/>
    <w:rsid w:val="00D5247F"/>
    <w:rsid w:val="00D528F6"/>
    <w:rsid w:val="00D670F7"/>
    <w:rsid w:val="00D7746E"/>
    <w:rsid w:val="00D819E7"/>
    <w:rsid w:val="00D85A61"/>
    <w:rsid w:val="00D92C82"/>
    <w:rsid w:val="00DA1E10"/>
    <w:rsid w:val="00DA463D"/>
    <w:rsid w:val="00DA5B64"/>
    <w:rsid w:val="00DB2B00"/>
    <w:rsid w:val="00DB45E7"/>
    <w:rsid w:val="00DC19E1"/>
    <w:rsid w:val="00DC25CF"/>
    <w:rsid w:val="00DC65F7"/>
    <w:rsid w:val="00DF32E5"/>
    <w:rsid w:val="00DF3EFD"/>
    <w:rsid w:val="00E07FDF"/>
    <w:rsid w:val="00E14EDE"/>
    <w:rsid w:val="00E242B2"/>
    <w:rsid w:val="00E31696"/>
    <w:rsid w:val="00E33E4C"/>
    <w:rsid w:val="00E44960"/>
    <w:rsid w:val="00E52F6A"/>
    <w:rsid w:val="00E545C9"/>
    <w:rsid w:val="00E55774"/>
    <w:rsid w:val="00E56018"/>
    <w:rsid w:val="00E64B7B"/>
    <w:rsid w:val="00E66654"/>
    <w:rsid w:val="00E74817"/>
    <w:rsid w:val="00E75B6D"/>
    <w:rsid w:val="00E76C2B"/>
    <w:rsid w:val="00E8294F"/>
    <w:rsid w:val="00E870C3"/>
    <w:rsid w:val="00E8738A"/>
    <w:rsid w:val="00E916E5"/>
    <w:rsid w:val="00E92F11"/>
    <w:rsid w:val="00E95399"/>
    <w:rsid w:val="00E95FBD"/>
    <w:rsid w:val="00E9654C"/>
    <w:rsid w:val="00EA1A1C"/>
    <w:rsid w:val="00EA36D3"/>
    <w:rsid w:val="00EB1C85"/>
    <w:rsid w:val="00EB22F0"/>
    <w:rsid w:val="00EB380F"/>
    <w:rsid w:val="00EB3823"/>
    <w:rsid w:val="00EC5A7D"/>
    <w:rsid w:val="00EC7099"/>
    <w:rsid w:val="00ED5E90"/>
    <w:rsid w:val="00ED60E2"/>
    <w:rsid w:val="00EE0A13"/>
    <w:rsid w:val="00EE2897"/>
    <w:rsid w:val="00EF31D5"/>
    <w:rsid w:val="00EF7FDA"/>
    <w:rsid w:val="00F01612"/>
    <w:rsid w:val="00F04B17"/>
    <w:rsid w:val="00F113F4"/>
    <w:rsid w:val="00F13479"/>
    <w:rsid w:val="00F14CE8"/>
    <w:rsid w:val="00F1625A"/>
    <w:rsid w:val="00F17C93"/>
    <w:rsid w:val="00F50BA2"/>
    <w:rsid w:val="00F5664D"/>
    <w:rsid w:val="00F6771B"/>
    <w:rsid w:val="00F703C3"/>
    <w:rsid w:val="00F80799"/>
    <w:rsid w:val="00F81776"/>
    <w:rsid w:val="00F835AD"/>
    <w:rsid w:val="00F844FD"/>
    <w:rsid w:val="00F869A3"/>
    <w:rsid w:val="00F86FB3"/>
    <w:rsid w:val="00F97BF1"/>
    <w:rsid w:val="00FA29D8"/>
    <w:rsid w:val="00FA5F5D"/>
    <w:rsid w:val="00FB0BA6"/>
    <w:rsid w:val="00FC29A0"/>
    <w:rsid w:val="00FC6C17"/>
    <w:rsid w:val="00FE48DB"/>
    <w:rsid w:val="00FF3620"/>
    <w:rsid w:val="00FF3A84"/>
    <w:rsid w:val="01110239"/>
    <w:rsid w:val="028847F9"/>
    <w:rsid w:val="03AA79F6"/>
    <w:rsid w:val="04741FE5"/>
    <w:rsid w:val="04DB02C7"/>
    <w:rsid w:val="05C10021"/>
    <w:rsid w:val="06B856EE"/>
    <w:rsid w:val="07FE5938"/>
    <w:rsid w:val="084604BC"/>
    <w:rsid w:val="08883825"/>
    <w:rsid w:val="09725983"/>
    <w:rsid w:val="0A382BB5"/>
    <w:rsid w:val="0AA4543A"/>
    <w:rsid w:val="0BE61132"/>
    <w:rsid w:val="0C9B0DD6"/>
    <w:rsid w:val="0CE4791C"/>
    <w:rsid w:val="0E063C64"/>
    <w:rsid w:val="0F4C7B96"/>
    <w:rsid w:val="0FFB575E"/>
    <w:rsid w:val="10845F1B"/>
    <w:rsid w:val="10847545"/>
    <w:rsid w:val="11463A00"/>
    <w:rsid w:val="11600918"/>
    <w:rsid w:val="11B0398F"/>
    <w:rsid w:val="13B960C5"/>
    <w:rsid w:val="152777F4"/>
    <w:rsid w:val="15C674B6"/>
    <w:rsid w:val="18D54A0D"/>
    <w:rsid w:val="1A4106A0"/>
    <w:rsid w:val="1A4F5437"/>
    <w:rsid w:val="1AB77CD0"/>
    <w:rsid w:val="1E807156"/>
    <w:rsid w:val="1EA657F6"/>
    <w:rsid w:val="1F097CB6"/>
    <w:rsid w:val="2166156B"/>
    <w:rsid w:val="21B02D83"/>
    <w:rsid w:val="22A236F5"/>
    <w:rsid w:val="23995975"/>
    <w:rsid w:val="2432220E"/>
    <w:rsid w:val="248303BA"/>
    <w:rsid w:val="24837E47"/>
    <w:rsid w:val="24D06AA6"/>
    <w:rsid w:val="252E01AA"/>
    <w:rsid w:val="2680023E"/>
    <w:rsid w:val="270E43FB"/>
    <w:rsid w:val="29680352"/>
    <w:rsid w:val="2A020F75"/>
    <w:rsid w:val="2B007AEE"/>
    <w:rsid w:val="2BC14C56"/>
    <w:rsid w:val="2C1B026F"/>
    <w:rsid w:val="2CC61F55"/>
    <w:rsid w:val="2EF7452F"/>
    <w:rsid w:val="2F1D13B4"/>
    <w:rsid w:val="2FAA3DA6"/>
    <w:rsid w:val="30682E1F"/>
    <w:rsid w:val="30E210D2"/>
    <w:rsid w:val="311371D6"/>
    <w:rsid w:val="31EB64C9"/>
    <w:rsid w:val="336D0D6F"/>
    <w:rsid w:val="352E4BEC"/>
    <w:rsid w:val="37DD5594"/>
    <w:rsid w:val="38F24FA8"/>
    <w:rsid w:val="3A98342A"/>
    <w:rsid w:val="3AB6780E"/>
    <w:rsid w:val="3AD56D70"/>
    <w:rsid w:val="3B2920C2"/>
    <w:rsid w:val="3BE41ABD"/>
    <w:rsid w:val="3C5421A9"/>
    <w:rsid w:val="3D903B21"/>
    <w:rsid w:val="3F440741"/>
    <w:rsid w:val="41FC306C"/>
    <w:rsid w:val="44BE5554"/>
    <w:rsid w:val="451E0908"/>
    <w:rsid w:val="452C2D31"/>
    <w:rsid w:val="45D26E14"/>
    <w:rsid w:val="469A4A85"/>
    <w:rsid w:val="46A541B1"/>
    <w:rsid w:val="46B16E9A"/>
    <w:rsid w:val="48C57772"/>
    <w:rsid w:val="49782886"/>
    <w:rsid w:val="4A6F0D28"/>
    <w:rsid w:val="4AAF085C"/>
    <w:rsid w:val="4AEB7E60"/>
    <w:rsid w:val="4B4B135B"/>
    <w:rsid w:val="4BC7055F"/>
    <w:rsid w:val="4CFC7DB2"/>
    <w:rsid w:val="4E7C187D"/>
    <w:rsid w:val="508941AD"/>
    <w:rsid w:val="50E65530"/>
    <w:rsid w:val="51457139"/>
    <w:rsid w:val="51574DBD"/>
    <w:rsid w:val="51EC1DA8"/>
    <w:rsid w:val="52610B83"/>
    <w:rsid w:val="52FC5524"/>
    <w:rsid w:val="532D7A17"/>
    <w:rsid w:val="54AF4562"/>
    <w:rsid w:val="54C9674B"/>
    <w:rsid w:val="556318EA"/>
    <w:rsid w:val="55A60AA1"/>
    <w:rsid w:val="56451615"/>
    <w:rsid w:val="57FC5774"/>
    <w:rsid w:val="59B332C9"/>
    <w:rsid w:val="5A44758A"/>
    <w:rsid w:val="5BEC4BB3"/>
    <w:rsid w:val="5C070B55"/>
    <w:rsid w:val="5CB96DCE"/>
    <w:rsid w:val="5CE61580"/>
    <w:rsid w:val="5D175666"/>
    <w:rsid w:val="5D556A3C"/>
    <w:rsid w:val="5D7B25C9"/>
    <w:rsid w:val="5ECB44B4"/>
    <w:rsid w:val="5EE2043C"/>
    <w:rsid w:val="602D2E37"/>
    <w:rsid w:val="61460FBE"/>
    <w:rsid w:val="62775810"/>
    <w:rsid w:val="62D83744"/>
    <w:rsid w:val="62EB0B98"/>
    <w:rsid w:val="630F4048"/>
    <w:rsid w:val="63AA02E5"/>
    <w:rsid w:val="64700DE9"/>
    <w:rsid w:val="65C613BD"/>
    <w:rsid w:val="65FD118C"/>
    <w:rsid w:val="682C3D89"/>
    <w:rsid w:val="68611305"/>
    <w:rsid w:val="69654A61"/>
    <w:rsid w:val="6A162DE0"/>
    <w:rsid w:val="6A331428"/>
    <w:rsid w:val="6B2E5CB6"/>
    <w:rsid w:val="6B3D4886"/>
    <w:rsid w:val="6DF8675E"/>
    <w:rsid w:val="6EA80098"/>
    <w:rsid w:val="6F8D70FF"/>
    <w:rsid w:val="6FFE5011"/>
    <w:rsid w:val="7178734D"/>
    <w:rsid w:val="71791096"/>
    <w:rsid w:val="717B0C34"/>
    <w:rsid w:val="71FB78FD"/>
    <w:rsid w:val="7275064A"/>
    <w:rsid w:val="733F750B"/>
    <w:rsid w:val="735702E2"/>
    <w:rsid w:val="765F635A"/>
    <w:rsid w:val="76B73454"/>
    <w:rsid w:val="76D254BD"/>
    <w:rsid w:val="770C1583"/>
    <w:rsid w:val="77727ACD"/>
    <w:rsid w:val="78071142"/>
    <w:rsid w:val="79296B37"/>
    <w:rsid w:val="7A4C4C40"/>
    <w:rsid w:val="7AA0518E"/>
    <w:rsid w:val="7B041636"/>
    <w:rsid w:val="7CA86749"/>
    <w:rsid w:val="7EC14E41"/>
    <w:rsid w:val="7EC92370"/>
    <w:rsid w:val="7F2238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unhideWhenUsed/>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2"/>
    <w:semiHidden/>
    <w:unhideWhenUsed/>
    <w:qFormat/>
    <w:uiPriority w:val="99"/>
    <w:pPr>
      <w:jc w:val="left"/>
    </w:pPr>
  </w:style>
  <w:style w:type="paragraph" w:styleId="3">
    <w:name w:val="Balloon Text"/>
    <w:basedOn w:val="1"/>
    <w:link w:val="14"/>
    <w:semiHidden/>
    <w:unhideWhenUsed/>
    <w:qFormat/>
    <w:uiPriority w:val="99"/>
    <w:rPr>
      <w:sz w:val="18"/>
      <w:szCs w:val="18"/>
    </w:rPr>
  </w:style>
  <w:style w:type="paragraph" w:styleId="4">
    <w:name w:val="footer"/>
    <w:basedOn w:val="1"/>
    <w:link w:val="11"/>
    <w:qFormat/>
    <w:uiPriority w:val="0"/>
    <w:pPr>
      <w:tabs>
        <w:tab w:val="center" w:pos="4153"/>
        <w:tab w:val="right" w:pos="8306"/>
      </w:tabs>
      <w:snapToGrid w:val="0"/>
      <w:jc w:val="left"/>
    </w:pPr>
    <w:rPr>
      <w:rFonts w:eastAsia="黑体"/>
      <w:snapToGrid w:val="0"/>
      <w:kern w:val="0"/>
      <w:sz w:val="18"/>
      <w:szCs w:val="18"/>
    </w:rPr>
  </w:style>
  <w:style w:type="paragraph" w:styleId="5">
    <w:name w:val="header"/>
    <w:basedOn w:val="1"/>
    <w:link w:val="15"/>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annotation subject"/>
    <w:basedOn w:val="2"/>
    <w:next w:val="2"/>
    <w:link w:val="13"/>
    <w:semiHidden/>
    <w:unhideWhenUsed/>
    <w:qFormat/>
    <w:uiPriority w:val="99"/>
    <w:rPr>
      <w:b/>
      <w:bCs/>
    </w:rPr>
  </w:style>
  <w:style w:type="character" w:styleId="9">
    <w:name w:val="page number"/>
    <w:basedOn w:val="8"/>
    <w:qFormat/>
    <w:uiPriority w:val="0"/>
  </w:style>
  <w:style w:type="character" w:styleId="10">
    <w:name w:val="annotation reference"/>
    <w:basedOn w:val="8"/>
    <w:semiHidden/>
    <w:unhideWhenUsed/>
    <w:qFormat/>
    <w:uiPriority w:val="99"/>
    <w:rPr>
      <w:sz w:val="21"/>
      <w:szCs w:val="21"/>
    </w:rPr>
  </w:style>
  <w:style w:type="character" w:customStyle="1" w:styleId="11">
    <w:name w:val="页脚 Char"/>
    <w:basedOn w:val="8"/>
    <w:link w:val="4"/>
    <w:qFormat/>
    <w:uiPriority w:val="0"/>
    <w:rPr>
      <w:rFonts w:ascii="Times New Roman" w:hAnsi="Times New Roman" w:eastAsia="黑体" w:cs="Times New Roman"/>
      <w:snapToGrid w:val="0"/>
      <w:kern w:val="0"/>
      <w:sz w:val="18"/>
      <w:szCs w:val="18"/>
    </w:rPr>
  </w:style>
  <w:style w:type="character" w:customStyle="1" w:styleId="12">
    <w:name w:val="批注文字 Char"/>
    <w:basedOn w:val="8"/>
    <w:link w:val="2"/>
    <w:semiHidden/>
    <w:qFormat/>
    <w:uiPriority w:val="99"/>
    <w:rPr>
      <w:rFonts w:ascii="Times New Roman" w:hAnsi="Times New Roman" w:eastAsia="宋体" w:cs="Times New Roman"/>
      <w:szCs w:val="24"/>
    </w:rPr>
  </w:style>
  <w:style w:type="character" w:customStyle="1" w:styleId="13">
    <w:name w:val="批注主题 Char"/>
    <w:basedOn w:val="12"/>
    <w:link w:val="6"/>
    <w:semiHidden/>
    <w:qFormat/>
    <w:uiPriority w:val="99"/>
    <w:rPr>
      <w:rFonts w:ascii="Times New Roman" w:hAnsi="Times New Roman" w:eastAsia="宋体" w:cs="Times New Roman"/>
      <w:b/>
      <w:bCs/>
      <w:szCs w:val="24"/>
    </w:rPr>
  </w:style>
  <w:style w:type="character" w:customStyle="1" w:styleId="14">
    <w:name w:val="批注框文本 Char"/>
    <w:basedOn w:val="8"/>
    <w:link w:val="3"/>
    <w:semiHidden/>
    <w:qFormat/>
    <w:uiPriority w:val="99"/>
    <w:rPr>
      <w:rFonts w:ascii="Times New Roman" w:hAnsi="Times New Roman" w:eastAsia="宋体" w:cs="Times New Roman"/>
      <w:sz w:val="18"/>
      <w:szCs w:val="18"/>
    </w:rPr>
  </w:style>
  <w:style w:type="character" w:customStyle="1" w:styleId="15">
    <w:name w:val="页眉 Char"/>
    <w:basedOn w:val="8"/>
    <w:link w:val="5"/>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14</Pages>
  <Words>1150</Words>
  <Characters>6561</Characters>
  <Lines>54</Lines>
  <Paragraphs>15</Paragraphs>
  <TotalTime>1</TotalTime>
  <ScaleCrop>false</ScaleCrop>
  <LinksUpToDate>false</LinksUpToDate>
  <CharactersWithSpaces>7696</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2019-05-30T09:42:00Z</dcterms:created>
  <dc:creator>Administrator</dc:creator>
  <cp:lastModifiedBy>Administrator</cp:lastModifiedBy>
  <dcterms:modified xsi:type="dcterms:W3CDTF">2021-07-13T15:29:39Z</dcterms:modified>
  <cp:revision>811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ICV">
    <vt:lpwstr>F581CE93C2734BC7989829BDE72B6AA9</vt:lpwstr>
  </property>
</Properties>
</file>